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F84E3C">
      <w:pPr>
        <w:rPr>
          <w:lang w:val="hr-HR"/>
        </w:rPr>
      </w:pPr>
      <w:bookmarkStart w:id="0" w:name="_heading_h_gjdgxs"/>
      <w:bookmarkEnd w:id="0"/>
      <w:r>
        <w:rPr>
          <w:lang w:val="hr-HR"/>
        </w:rPr>
        <w:t xml:space="preserve">DJEČJI VRTIĆ POŽEGA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 xml:space="preserve">                                                    Rudinska 8, 34000 Požega</w:t>
      </w:r>
    </w:p>
    <w:p w14:paraId="211A306F">
      <w:pPr>
        <w:tabs>
          <w:tab w:val="left" w:pos="1843"/>
        </w:tabs>
        <w:rPr>
          <w:sz w:val="21"/>
          <w:szCs w:val="21"/>
          <w:lang w:val="hr-HR"/>
        </w:rPr>
      </w:pPr>
      <w:r>
        <w:rPr>
          <w:lang w:val="hr-HR"/>
        </w:rPr>
        <w:t xml:space="preserve">  </w:t>
      </w:r>
    </w:p>
    <w:p w14:paraId="5A602277">
      <w:pPr>
        <w:tabs>
          <w:tab w:val="left" w:pos="1843"/>
        </w:tabs>
        <w:jc w:val="center"/>
        <w:rPr>
          <w:lang w:val="hr-HR"/>
        </w:rPr>
      </w:pPr>
      <w:bookmarkStart w:id="1" w:name="_heading_h_30j0zll" w:colFirst="0" w:colLast="0"/>
      <w:bookmarkEnd w:id="1"/>
      <w:r>
        <w:rPr>
          <w:lang w:val="hr-HR"/>
        </w:rPr>
        <w:t>U P R A V N O   V I J E Ć E</w:t>
      </w:r>
    </w:p>
    <w:p w14:paraId="0641F35E">
      <w:pPr>
        <w:tabs>
          <w:tab w:val="left" w:pos="1843"/>
        </w:tabs>
        <w:jc w:val="both"/>
        <w:rPr>
          <w:sz w:val="21"/>
          <w:szCs w:val="21"/>
          <w:lang w:val="hr-HR"/>
        </w:rPr>
      </w:pPr>
      <w:r>
        <w:rPr>
          <w:sz w:val="21"/>
          <w:szCs w:val="21"/>
          <w:lang w:val="hr-HR"/>
        </w:rPr>
        <w:t>-----------------------------------------------------------------------------------------------------------------------------</w:t>
      </w:r>
    </w:p>
    <w:p w14:paraId="257D6EE6">
      <w:pPr>
        <w:tabs>
          <w:tab w:val="left" w:pos="1843"/>
        </w:tabs>
        <w:rPr>
          <w:color w:val="auto"/>
          <w:lang w:val="hr-HR"/>
        </w:rPr>
      </w:pPr>
      <w:bookmarkStart w:id="4" w:name="_GoBack"/>
    </w:p>
    <w:p w14:paraId="288C1A6A">
      <w:pPr>
        <w:jc w:val="both"/>
        <w:rPr>
          <w:color w:val="auto"/>
          <w:lang w:val="hr-HR"/>
        </w:rPr>
      </w:pPr>
      <w:r>
        <w:rPr>
          <w:color w:val="auto"/>
          <w:lang w:val="hr-HR"/>
        </w:rPr>
        <w:t>KLASA: 601-02/24-08/</w:t>
      </w:r>
    </w:p>
    <w:p w14:paraId="016025C8">
      <w:pPr>
        <w:tabs>
          <w:tab w:val="left" w:pos="4111"/>
          <w:tab w:val="left" w:pos="4678"/>
        </w:tabs>
        <w:ind w:right="4961"/>
        <w:rPr>
          <w:rFonts w:hint="default"/>
          <w:color w:val="auto"/>
          <w:lang w:val="hr-HR"/>
        </w:rPr>
      </w:pPr>
      <w:r>
        <w:rPr>
          <w:color w:val="auto"/>
          <w:lang w:val="hr-HR"/>
        </w:rPr>
        <w:t>URBROJ:2177-1-9-05-2</w:t>
      </w:r>
      <w:r>
        <w:rPr>
          <w:rFonts w:hint="default"/>
          <w:color w:val="auto"/>
          <w:lang w:val="hr-HR"/>
        </w:rPr>
        <w:t>5</w:t>
      </w:r>
      <w:r>
        <w:rPr>
          <w:color w:val="auto"/>
          <w:lang w:val="hr-HR"/>
        </w:rPr>
        <w:t>-</w:t>
      </w:r>
      <w:r>
        <w:rPr>
          <w:rFonts w:hint="default"/>
          <w:color w:val="auto"/>
          <w:lang w:val="hr-HR"/>
        </w:rPr>
        <w:t>5</w:t>
      </w:r>
    </w:p>
    <w:p w14:paraId="3FACCAE6">
      <w:pPr>
        <w:tabs>
          <w:tab w:val="left" w:pos="4111"/>
          <w:tab w:val="left" w:pos="4678"/>
        </w:tabs>
        <w:ind w:right="4961"/>
        <w:rPr>
          <w:color w:val="auto"/>
          <w:lang w:val="hr-HR"/>
        </w:rPr>
      </w:pPr>
      <w:r>
        <w:rPr>
          <w:color w:val="auto"/>
          <w:lang w:val="hr-HR"/>
        </w:rPr>
        <w:t>Požega, 07. ožujka 2025. godine</w:t>
      </w:r>
    </w:p>
    <w:p w14:paraId="2E1DD261">
      <w:pPr>
        <w:tabs>
          <w:tab w:val="left" w:pos="4111"/>
          <w:tab w:val="left" w:pos="4678"/>
        </w:tabs>
        <w:ind w:right="4961"/>
        <w:rPr>
          <w:color w:val="auto"/>
          <w:lang w:val="hr-HR"/>
        </w:rPr>
      </w:pPr>
    </w:p>
    <w:p w14:paraId="1F64FAA9">
      <w:pPr>
        <w:jc w:val="both"/>
        <w:rPr>
          <w:color w:val="auto"/>
          <w:lang w:val="hr-HR"/>
        </w:rPr>
      </w:pPr>
      <w:r>
        <w:rPr>
          <w:b/>
          <w:bCs/>
          <w:color w:val="auto"/>
          <w:lang w:val="hr-HR"/>
        </w:rPr>
        <w:tab/>
      </w:r>
      <w:r>
        <w:rPr>
          <w:color w:val="auto"/>
          <w:lang w:val="hr-HR"/>
        </w:rPr>
        <w:t>Na temelju članka 36. stavka 1. Zakona o ustanovama (Narodne novine, broj: 76/93., 29/97., 47/99., 35/08., 127/19. i 151/22.), članka 86. Zakona o proračunu (Narodne novine, broj: 144/21.), odredbi Pravilnika o polugodišnjem i godišnjem izvještaju o izvršenju proračuna (Narodne novine, broj: 85/23.) i članka 48. Statuta Dječjeg vrtića Požega KLASA: 01-03/1/01, URBROJ:2177-1-9-05-18-1 od 8. siječnja 2018. godine, Upravno vijeće Dječjeg vrtića Požega na 53. sjednici održanoj 07. ožujka 2025, godine donosi;</w:t>
      </w:r>
    </w:p>
    <w:bookmarkEnd w:id="4"/>
    <w:p w14:paraId="16854D13">
      <w:pPr>
        <w:jc w:val="both"/>
        <w:rPr>
          <w:color w:val="FF0000"/>
          <w:lang w:val="hr-HR"/>
        </w:rPr>
      </w:pPr>
    </w:p>
    <w:p w14:paraId="0A39744E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GODIŠNJI IZVJEŠTAJ O IZVRŠENJU FINANCIJSKOG PLANA </w:t>
      </w:r>
    </w:p>
    <w:p w14:paraId="64B4BFCA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DJEČJEG VRTIĆA POŽEGA ZA 2024. GODINU</w:t>
      </w:r>
    </w:p>
    <w:p w14:paraId="78CA7D82">
      <w:pPr>
        <w:rPr>
          <w:lang w:val="hr-HR"/>
        </w:rPr>
      </w:pPr>
    </w:p>
    <w:p w14:paraId="417BA3EC">
      <w:pPr>
        <w:rPr>
          <w:lang w:val="hr-HR"/>
        </w:rPr>
      </w:pPr>
      <w:r>
        <w:rPr>
          <w:lang w:val="hr-HR"/>
        </w:rPr>
        <w:t>I.</w:t>
      </w:r>
      <w:r>
        <w:rPr>
          <w:lang w:val="hr-HR"/>
        </w:rPr>
        <w:tab/>
      </w:r>
      <w:r>
        <w:rPr>
          <w:lang w:val="hr-HR"/>
        </w:rPr>
        <w:t>UVODNE ODREDBE</w:t>
      </w:r>
    </w:p>
    <w:p w14:paraId="37D771D5">
      <w:pPr>
        <w:ind w:left="3600" w:firstLine="540"/>
        <w:rPr>
          <w:lang w:val="hr-HR"/>
        </w:rPr>
      </w:pPr>
      <w:r>
        <w:rPr>
          <w:lang w:val="hr-HR"/>
        </w:rPr>
        <w:t>Članak 1.</w:t>
      </w:r>
    </w:p>
    <w:p w14:paraId="3068DB07">
      <w:pPr>
        <w:rPr>
          <w:lang w:val="hr-HR"/>
        </w:rPr>
      </w:pPr>
    </w:p>
    <w:p w14:paraId="434E4419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>Godišnji izvještaj o izvršenju financijskog plana Dječjeg vrtića Požega za 2024. godinu sadrži:</w:t>
      </w:r>
    </w:p>
    <w:p w14:paraId="1851EE73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opći dio financijskog plana koji čini Račun prihoda i rashoda i Račun financiranja (prilog tablice),</w:t>
      </w:r>
    </w:p>
    <w:p w14:paraId="3E77AF8D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posebni dio financijskog plana po programskoj klasifikaciji (prilog tablice),</w:t>
      </w:r>
    </w:p>
    <w:p w14:paraId="0A317D6C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obrazloženje ostvarenja prihoda i primitaka, rashoda i izdataka na razini ekonomske klasifikacije, prema izvorima financiranja, prema funkcijskoj klasifikaciji (prilog tablice),</w:t>
      </w:r>
    </w:p>
    <w:p w14:paraId="1F8473DC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izvještaj o zaduživanju na domaćem i stranom tržištu novca i kapitala,</w:t>
      </w:r>
    </w:p>
    <w:p w14:paraId="7851D74E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izvještaj o korištenju fondova Europske Unije,</w:t>
      </w:r>
    </w:p>
    <w:p w14:paraId="7D0CEB28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izvještaj o danim zajmovima i potraživanjima po danim zajmovima i</w:t>
      </w:r>
    </w:p>
    <w:p w14:paraId="5EE7B1BA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izvještaj o stanju potraživanja i dospjelih obveze te o stanju potencijalnih obveza po osnovi sudskih sporova.</w:t>
      </w:r>
    </w:p>
    <w:p w14:paraId="4ED589C5">
      <w:pPr>
        <w:rPr>
          <w:i/>
          <w:iCs/>
          <w:color w:val="FF0000"/>
          <w:lang w:val="hr-HR"/>
        </w:rPr>
      </w:pPr>
    </w:p>
    <w:p w14:paraId="1074A2F1">
      <w:pPr>
        <w:rPr>
          <w:lang w:val="hr-HR"/>
        </w:rPr>
      </w:pPr>
      <w:r>
        <w:rPr>
          <w:lang w:val="hr-HR"/>
        </w:rPr>
        <w:t>II.</w:t>
      </w:r>
      <w:r>
        <w:rPr>
          <w:lang w:val="hr-HR"/>
        </w:rPr>
        <w:tab/>
      </w:r>
      <w:r>
        <w:rPr>
          <w:lang w:val="hr-HR"/>
        </w:rPr>
        <w:t>OPĆI DIO</w:t>
      </w:r>
    </w:p>
    <w:p w14:paraId="1D0E102D">
      <w:pPr>
        <w:rPr>
          <w:lang w:val="hr-HR"/>
        </w:rPr>
      </w:pPr>
    </w:p>
    <w:p w14:paraId="72309D86">
      <w:pPr>
        <w:jc w:val="center"/>
        <w:rPr>
          <w:lang w:val="hr-HR"/>
        </w:rPr>
      </w:pPr>
      <w:r>
        <w:rPr>
          <w:lang w:val="hr-HR"/>
        </w:rPr>
        <w:t>Članak 2.</w:t>
      </w:r>
    </w:p>
    <w:p w14:paraId="4E3F3301">
      <w:pPr>
        <w:rPr>
          <w:lang w:val="hr-HR"/>
        </w:rPr>
      </w:pPr>
    </w:p>
    <w:p w14:paraId="5BBED2FC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>Opći dio godišnjeg izvještaja o izvršenju Financijskog plana Dječjeg vrtića Požega za 2024. godinu (u daljnjem tekstu: Godišnji izvještaj o izvršenju Financijskog plana) sadrži:</w:t>
      </w:r>
    </w:p>
    <w:p w14:paraId="14CF2774">
      <w:pPr>
        <w:jc w:val="both"/>
        <w:rPr>
          <w:lang w:val="hr-HR"/>
        </w:rPr>
      </w:pPr>
    </w:p>
    <w:p w14:paraId="2A40A04A">
      <w:pPr>
        <w:ind w:firstLine="720"/>
        <w:rPr>
          <w:lang w:val="hr-HR"/>
        </w:rPr>
      </w:pPr>
      <w:r>
        <w:rPr>
          <w:lang w:val="hr-HR"/>
        </w:rPr>
        <w:t>RAČUN PRIHODA I RASHODA</w:t>
      </w:r>
    </w:p>
    <w:tbl>
      <w:tblPr>
        <w:tblStyle w:val="10"/>
        <w:tblW w:w="9639" w:type="dxa"/>
        <w:jc w:val="center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7514"/>
        <w:gridCol w:w="2125"/>
      </w:tblGrid>
      <w:tr w14:paraId="6D7BE81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7514" w:type="dxa"/>
          </w:tcPr>
          <w:p w14:paraId="63EE0194">
            <w:pPr>
              <w:rPr>
                <w:lang w:val="hr-HR"/>
              </w:rPr>
            </w:pPr>
            <w:r>
              <w:rPr>
                <w:lang w:val="hr-HR"/>
              </w:rPr>
              <w:t xml:space="preserve">PRIHODI POSLOVANJA </w:t>
            </w:r>
          </w:p>
        </w:tc>
        <w:tc>
          <w:tcPr>
            <w:tcW w:w="2125" w:type="dxa"/>
          </w:tcPr>
          <w:p w14:paraId="574FCEA0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1.795.146,85 EUR</w:t>
            </w:r>
          </w:p>
        </w:tc>
      </w:tr>
      <w:tr w14:paraId="7668D08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7514" w:type="dxa"/>
          </w:tcPr>
          <w:p w14:paraId="5CB9ECA2">
            <w:pPr>
              <w:rPr>
                <w:lang w:val="hr-HR"/>
              </w:rPr>
            </w:pPr>
            <w:r>
              <w:rPr>
                <w:lang w:val="hr-HR"/>
              </w:rPr>
              <w:t>PRIHODI OD PRODAJE NEFINANCIJSKE IMOVINE</w:t>
            </w:r>
          </w:p>
        </w:tc>
        <w:tc>
          <w:tcPr>
            <w:tcW w:w="2125" w:type="dxa"/>
          </w:tcPr>
          <w:p w14:paraId="0B7A2068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0,00 EUR</w:t>
            </w:r>
          </w:p>
        </w:tc>
      </w:tr>
      <w:tr w14:paraId="7947FA1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7514" w:type="dxa"/>
          </w:tcPr>
          <w:p w14:paraId="4FF3658E">
            <w:pPr>
              <w:rPr>
                <w:lang w:val="hr-HR"/>
              </w:rPr>
            </w:pPr>
            <w:r>
              <w:rPr>
                <w:lang w:val="hr-HR"/>
              </w:rPr>
              <w:t>Ukupni prihodi</w:t>
            </w:r>
          </w:p>
        </w:tc>
        <w:tc>
          <w:tcPr>
            <w:tcW w:w="2125" w:type="dxa"/>
          </w:tcPr>
          <w:p w14:paraId="0BE46D5C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1.795.146,85 EUR</w:t>
            </w:r>
          </w:p>
        </w:tc>
      </w:tr>
      <w:tr w14:paraId="5A6EFBB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7514" w:type="dxa"/>
          </w:tcPr>
          <w:p w14:paraId="05579AC5">
            <w:pPr>
              <w:rPr>
                <w:lang w:val="hr-HR"/>
              </w:rPr>
            </w:pPr>
            <w:r>
              <w:rPr>
                <w:lang w:val="hr-HR"/>
              </w:rPr>
              <w:t>RASHODI POSLOVANJA</w:t>
            </w:r>
          </w:p>
        </w:tc>
        <w:tc>
          <w:tcPr>
            <w:tcW w:w="2125" w:type="dxa"/>
          </w:tcPr>
          <w:p w14:paraId="167C1086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1.795.624,61 EUR</w:t>
            </w:r>
          </w:p>
        </w:tc>
      </w:tr>
      <w:tr w14:paraId="4B83BA0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7514" w:type="dxa"/>
          </w:tcPr>
          <w:p w14:paraId="4D44A94B">
            <w:pPr>
              <w:rPr>
                <w:lang w:val="hr-HR"/>
              </w:rPr>
            </w:pPr>
            <w:r>
              <w:rPr>
                <w:lang w:val="hr-HR"/>
              </w:rPr>
              <w:t>RASHODI ZA NABAVU NEFINANCIJSKE IMOVINE</w:t>
            </w:r>
          </w:p>
        </w:tc>
        <w:tc>
          <w:tcPr>
            <w:tcW w:w="2125" w:type="dxa"/>
          </w:tcPr>
          <w:p w14:paraId="28310430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4.235,78 EUR</w:t>
            </w:r>
          </w:p>
        </w:tc>
      </w:tr>
      <w:tr w14:paraId="1E2D23A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7514" w:type="dxa"/>
          </w:tcPr>
          <w:p w14:paraId="0580E1D4">
            <w:pPr>
              <w:rPr>
                <w:lang w:val="hr-HR"/>
              </w:rPr>
            </w:pPr>
            <w:r>
              <w:rPr>
                <w:lang w:val="hr-HR"/>
              </w:rPr>
              <w:t>Ukupni rashodi</w:t>
            </w:r>
          </w:p>
        </w:tc>
        <w:tc>
          <w:tcPr>
            <w:tcW w:w="2125" w:type="dxa"/>
          </w:tcPr>
          <w:p w14:paraId="64790661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1.799.860,39 EUR</w:t>
            </w:r>
          </w:p>
        </w:tc>
      </w:tr>
      <w:tr w14:paraId="65D57FA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7514" w:type="dxa"/>
          </w:tcPr>
          <w:p w14:paraId="0271285D">
            <w:pPr>
              <w:rPr>
                <w:lang w:val="hr-HR"/>
              </w:rPr>
            </w:pPr>
            <w:r>
              <w:rPr>
                <w:lang w:val="hr-HR"/>
              </w:rPr>
              <w:t>RAZLIKA – VIŠAK/MANJAK</w:t>
            </w:r>
          </w:p>
        </w:tc>
        <w:tc>
          <w:tcPr>
            <w:tcW w:w="2125" w:type="dxa"/>
          </w:tcPr>
          <w:p w14:paraId="74CD88E5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-4.713,54 EUR</w:t>
            </w:r>
          </w:p>
        </w:tc>
      </w:tr>
    </w:tbl>
    <w:p w14:paraId="46631C0E">
      <w:pPr>
        <w:rPr>
          <w:color w:val="FF0000"/>
          <w:lang w:val="hr-HR"/>
        </w:rPr>
      </w:pPr>
    </w:p>
    <w:p w14:paraId="70CB8DC9">
      <w:pPr>
        <w:ind w:left="-142" w:right="-284"/>
        <w:rPr>
          <w:lang w:val="hr-HR"/>
        </w:rPr>
      </w:pPr>
      <w:r>
        <w:rPr>
          <w:lang w:val="hr-HR"/>
        </w:rPr>
        <w:t>UKUPNI DONOS VIŠKA/MANJKA IZ PRETHODNE(IH) GODINA</w:t>
      </w:r>
    </w:p>
    <w:tbl>
      <w:tblPr>
        <w:tblStyle w:val="10"/>
        <w:tblW w:w="9639" w:type="dxa"/>
        <w:jc w:val="center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7514"/>
        <w:gridCol w:w="2125"/>
      </w:tblGrid>
      <w:tr w14:paraId="006B943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7514" w:type="dxa"/>
          </w:tcPr>
          <w:p w14:paraId="7803778B">
            <w:pPr>
              <w:tabs>
                <w:tab w:val="left" w:pos="567"/>
                <w:tab w:val="left" w:pos="777"/>
              </w:tabs>
              <w:ind w:left="360"/>
              <w:rPr>
                <w:lang w:val="hr-HR"/>
              </w:rPr>
            </w:pPr>
            <w:r>
              <w:rPr>
                <w:lang w:val="hr-HR"/>
              </w:rPr>
              <w:tab/>
            </w:r>
            <w:r>
              <w:rPr>
                <w:lang w:val="hr-HR"/>
              </w:rPr>
              <w:t>RASPOLOŽIVA SREDSTVA IZ PRETHODNIH GODINA</w:t>
            </w:r>
          </w:p>
        </w:tc>
        <w:tc>
          <w:tcPr>
            <w:tcW w:w="2125" w:type="dxa"/>
          </w:tcPr>
          <w:p w14:paraId="49BB30EE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0,00 EUR</w:t>
            </w:r>
          </w:p>
        </w:tc>
      </w:tr>
    </w:tbl>
    <w:p w14:paraId="7C38A058">
      <w:pPr>
        <w:rPr>
          <w:lang w:val="hr-HR"/>
        </w:rPr>
      </w:pPr>
    </w:p>
    <w:tbl>
      <w:tblPr>
        <w:tblStyle w:val="10"/>
        <w:tblW w:w="9639" w:type="dxa"/>
        <w:jc w:val="center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7514"/>
        <w:gridCol w:w="2125"/>
      </w:tblGrid>
      <w:tr w14:paraId="130E663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7514" w:type="dxa"/>
          </w:tcPr>
          <w:p w14:paraId="182CE33C">
            <w:pPr>
              <w:rPr>
                <w:lang w:val="hr-HR"/>
              </w:rPr>
            </w:pPr>
            <w:r>
              <w:rPr>
                <w:lang w:val="hr-HR"/>
              </w:rPr>
              <w:t>VIŠAK/MANJAK + NETO ZADUŽIVANJE/FINANCIRANJE</w:t>
            </w:r>
          </w:p>
        </w:tc>
        <w:tc>
          <w:tcPr>
            <w:tcW w:w="2125" w:type="dxa"/>
          </w:tcPr>
          <w:p w14:paraId="73628F77">
            <w:pPr>
              <w:jc w:val="right"/>
              <w:rPr>
                <w:lang w:val="hr-HR"/>
              </w:rPr>
            </w:pPr>
          </w:p>
        </w:tc>
      </w:tr>
      <w:tr w14:paraId="377A765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14" w:hRule="atLeast"/>
          <w:jc w:val="center"/>
        </w:trPr>
        <w:tc>
          <w:tcPr>
            <w:tcW w:w="7514" w:type="dxa"/>
          </w:tcPr>
          <w:p w14:paraId="2DB43757">
            <w:pPr>
              <w:rPr>
                <w:lang w:val="hr-HR"/>
              </w:rPr>
            </w:pPr>
            <w:r>
              <w:rPr>
                <w:lang w:val="hr-HR"/>
              </w:rPr>
              <w:t>+ RASPOLOŽIVA SREDSTVA IZ PRETHODNIH GODINA</w:t>
            </w:r>
          </w:p>
        </w:tc>
        <w:tc>
          <w:tcPr>
            <w:tcW w:w="2125" w:type="dxa"/>
          </w:tcPr>
          <w:p w14:paraId="27289133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-4.713,54 EUR</w:t>
            </w:r>
          </w:p>
        </w:tc>
      </w:tr>
    </w:tbl>
    <w:p w14:paraId="2112654D">
      <w:pPr>
        <w:rPr>
          <w:lang w:val="hr-HR"/>
        </w:rPr>
      </w:pPr>
    </w:p>
    <w:p w14:paraId="001229BA">
      <w:pPr>
        <w:jc w:val="center"/>
        <w:rPr>
          <w:lang w:val="hr-HR"/>
        </w:rPr>
      </w:pPr>
    </w:p>
    <w:p w14:paraId="29901C4B">
      <w:pPr>
        <w:jc w:val="center"/>
        <w:rPr>
          <w:lang w:val="hr-HR"/>
        </w:rPr>
      </w:pPr>
    </w:p>
    <w:p w14:paraId="3C657273">
      <w:pPr>
        <w:jc w:val="center"/>
        <w:rPr>
          <w:lang w:val="hr-HR"/>
        </w:rPr>
      </w:pPr>
      <w:r>
        <w:rPr>
          <w:lang w:val="hr-HR"/>
        </w:rPr>
        <w:t>Članak 3.</w:t>
      </w:r>
    </w:p>
    <w:p w14:paraId="274B714E">
      <w:pPr>
        <w:jc w:val="both"/>
        <w:rPr>
          <w:lang w:val="hr-HR"/>
        </w:rPr>
      </w:pPr>
    </w:p>
    <w:p w14:paraId="669351DB">
      <w:pPr>
        <w:jc w:val="both"/>
        <w:rPr>
          <w:color w:val="FF0000"/>
          <w:lang w:val="hr-HR"/>
        </w:rPr>
      </w:pPr>
      <w:r>
        <w:rPr>
          <w:lang w:val="hr-HR"/>
        </w:rPr>
        <w:tab/>
      </w:r>
      <w:r>
        <w:rPr>
          <w:lang w:val="hr-HR"/>
        </w:rPr>
        <w:t xml:space="preserve">Tijekom izvještajnog razdoblja Dječjeg vrtića Požega je ostvarila ukupne prihode i primitke u iznosu 1.795.146,85 EUR, dok ukupni rashodi i izdaci realizirani tijekom istog razdoblja iznose 1.799.860,39 EUR. Iz navedenog proizlazi manjak u iznosu od 4.713,54 EUR. </w:t>
      </w:r>
    </w:p>
    <w:p w14:paraId="59E88B36">
      <w:pPr>
        <w:jc w:val="both"/>
        <w:rPr>
          <w:color w:val="FF0000"/>
          <w:lang w:val="hr-HR"/>
        </w:rPr>
      </w:pPr>
    </w:p>
    <w:p w14:paraId="4CA2DE92">
      <w:pPr>
        <w:jc w:val="center"/>
        <w:rPr>
          <w:lang w:val="hr-HR"/>
        </w:rPr>
      </w:pPr>
      <w:r>
        <w:rPr>
          <w:lang w:val="hr-HR"/>
        </w:rPr>
        <w:t>Članak 4.</w:t>
      </w:r>
    </w:p>
    <w:p w14:paraId="2356CCCA">
      <w:pPr>
        <w:jc w:val="both"/>
        <w:rPr>
          <w:lang w:val="hr-HR"/>
        </w:rPr>
      </w:pPr>
    </w:p>
    <w:p w14:paraId="70AA7A76">
      <w:pPr>
        <w:ind w:firstLine="720"/>
        <w:jc w:val="both"/>
        <w:rPr>
          <w:lang w:val="hr-HR"/>
        </w:rPr>
      </w:pPr>
      <w:r>
        <w:rPr>
          <w:lang w:val="hr-HR"/>
        </w:rPr>
        <w:t>Prihodi i rashodi, te primici i izdaci na razini odjeljka ekonomske klasifikacije utvrđuju se u Računu prihoda i rashoda i Računu financiranja.</w:t>
      </w:r>
    </w:p>
    <w:p w14:paraId="3187EE1D">
      <w:pPr>
        <w:jc w:val="both"/>
        <w:rPr>
          <w:color w:val="FF0000"/>
          <w:lang w:val="hr-HR"/>
        </w:rPr>
      </w:pPr>
    </w:p>
    <w:p w14:paraId="218B6F73">
      <w:pPr>
        <w:jc w:val="both"/>
        <w:rPr>
          <w:lang w:val="hr-HR"/>
        </w:rPr>
      </w:pPr>
    </w:p>
    <w:p w14:paraId="4F7C23B7">
      <w:pPr>
        <w:rPr>
          <w:lang w:val="hr-HR"/>
        </w:rPr>
      </w:pPr>
      <w:r>
        <w:rPr>
          <w:lang w:val="hr-HR"/>
        </w:rPr>
        <w:t>III.</w:t>
      </w:r>
      <w:r>
        <w:rPr>
          <w:lang w:val="hr-HR"/>
        </w:rPr>
        <w:tab/>
      </w:r>
      <w:r>
        <w:rPr>
          <w:lang w:val="hr-HR"/>
        </w:rPr>
        <w:t>POSEBNI DIO</w:t>
      </w:r>
    </w:p>
    <w:p w14:paraId="0FA93EC1">
      <w:pPr>
        <w:rPr>
          <w:lang w:val="hr-HR"/>
        </w:rPr>
      </w:pPr>
    </w:p>
    <w:p w14:paraId="1FECD13E">
      <w:pPr>
        <w:ind w:left="360"/>
        <w:jc w:val="center"/>
        <w:rPr>
          <w:lang w:val="hr-HR"/>
        </w:rPr>
      </w:pPr>
      <w:r>
        <w:rPr>
          <w:lang w:val="hr-HR"/>
        </w:rPr>
        <w:t>Članak 5.</w:t>
      </w:r>
    </w:p>
    <w:p w14:paraId="639C4159">
      <w:pPr>
        <w:jc w:val="both"/>
        <w:rPr>
          <w:lang w:val="hr-HR"/>
        </w:rPr>
      </w:pPr>
    </w:p>
    <w:p w14:paraId="3F7CDE63">
      <w:pPr>
        <w:tabs>
          <w:tab w:val="left" w:pos="0"/>
        </w:tabs>
        <w:ind w:right="252"/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 xml:space="preserve">Rashodi poslovanja i rashodi za nabavu nefinancijske imovine u Financijskom planu Dječjeg vrtića Požega ostvareni su u </w:t>
      </w:r>
      <w:r>
        <w:rPr>
          <w:color w:val="auto"/>
          <w:lang w:val="hr-HR"/>
        </w:rPr>
        <w:t>ukupnom iznosu od 1.799</w:t>
      </w:r>
      <w:r>
        <w:rPr>
          <w:lang w:val="hr-HR"/>
        </w:rPr>
        <w:t>.860,39 EUR.</w:t>
      </w:r>
    </w:p>
    <w:p w14:paraId="4D8A1822">
      <w:pPr>
        <w:tabs>
          <w:tab w:val="left" w:pos="0"/>
        </w:tabs>
        <w:ind w:right="252"/>
        <w:jc w:val="both"/>
        <w:rPr>
          <w:lang w:val="hr-HR"/>
        </w:rPr>
      </w:pPr>
    </w:p>
    <w:p w14:paraId="0D07CCAD">
      <w:pPr>
        <w:tabs>
          <w:tab w:val="left" w:pos="0"/>
        </w:tabs>
        <w:ind w:right="252"/>
        <w:jc w:val="both"/>
        <w:rPr>
          <w:lang w:val="hr-HR"/>
        </w:rPr>
      </w:pPr>
    </w:p>
    <w:p w14:paraId="27D32D05">
      <w:pPr>
        <w:rPr>
          <w:lang w:val="hr-HR"/>
        </w:rPr>
      </w:pPr>
      <w:r>
        <w:rPr>
          <w:lang w:val="hr-HR"/>
        </w:rPr>
        <w:t>IV.</w:t>
      </w:r>
      <w:r>
        <w:rPr>
          <w:lang w:val="hr-HR"/>
        </w:rPr>
        <w:tab/>
      </w:r>
      <w:r>
        <w:rPr>
          <w:lang w:val="hr-HR"/>
        </w:rPr>
        <w:t>ZAVRŠNE ODREDBE</w:t>
      </w:r>
    </w:p>
    <w:p w14:paraId="6CB5B6E9">
      <w:pPr>
        <w:ind w:left="360"/>
        <w:jc w:val="center"/>
        <w:rPr>
          <w:lang w:val="hr-HR"/>
        </w:rPr>
      </w:pPr>
      <w:r>
        <w:rPr>
          <w:lang w:val="hr-HR"/>
        </w:rPr>
        <w:t>Članak 6.</w:t>
      </w:r>
    </w:p>
    <w:p w14:paraId="0FCCB9E6">
      <w:pPr>
        <w:rPr>
          <w:lang w:val="hr-HR"/>
        </w:rPr>
      </w:pPr>
    </w:p>
    <w:p w14:paraId="749EDE1C">
      <w:pPr>
        <w:ind w:firstLine="720"/>
        <w:jc w:val="both"/>
        <w:rPr>
          <w:lang w:val="hr-HR"/>
        </w:rPr>
      </w:pPr>
      <w:r>
        <w:rPr>
          <w:lang w:val="hr-HR"/>
        </w:rPr>
        <w:t>Opći i posebni dio Godišnjeg izvještaja o izvršenju Financijskog plana Dječjeg vrtića Požega za 2024. godinu objaviti će se na oglasnoj ploči Dječjeg vrtića Požega, a cjelokupni Godišnji izvještaj o izvršenju Financijskog plana Dječjeg vrtića Požega za 2024. godinu na internetskim stranicama Dječjeg vrtića Požega (</w:t>
      </w:r>
      <w:r>
        <w:fldChar w:fldCharType="begin"/>
      </w:r>
      <w:r>
        <w:instrText xml:space="preserve"> HYPERLINK "http://www.djecjivrticpozega.hr" </w:instrText>
      </w:r>
      <w:r>
        <w:fldChar w:fldCharType="separate"/>
      </w:r>
      <w:r>
        <w:rPr>
          <w:rStyle w:val="22"/>
          <w:lang w:val="hr-HR"/>
        </w:rPr>
        <w:t>www.djecjivrticpozega.hr</w:t>
      </w:r>
      <w:r>
        <w:rPr>
          <w:rStyle w:val="22"/>
          <w:lang w:val="hr-HR"/>
        </w:rPr>
        <w:fldChar w:fldCharType="end"/>
      </w:r>
      <w:r>
        <w:rPr>
          <w:lang w:val="hr-HR"/>
        </w:rPr>
        <w:t xml:space="preserve">). </w:t>
      </w:r>
    </w:p>
    <w:p w14:paraId="7AEAC2FF">
      <w:pPr>
        <w:ind w:right="50"/>
        <w:jc w:val="both"/>
        <w:rPr>
          <w:color w:val="FF0000"/>
          <w:lang w:val="hr-HR"/>
        </w:rPr>
      </w:pPr>
      <w:bookmarkStart w:id="2" w:name="_heading_h_1fob9te" w:colFirst="0" w:colLast="0"/>
      <w:bookmarkEnd w:id="2"/>
    </w:p>
    <w:p w14:paraId="0E778052">
      <w:pPr>
        <w:rPr>
          <w:color w:val="FF0000"/>
          <w:lang w:val="hr-HR"/>
        </w:rPr>
      </w:pPr>
      <w:bookmarkStart w:id="3" w:name="_heading_h_3znysh7" w:colFirst="0" w:colLast="0"/>
      <w:bookmarkEnd w:id="3"/>
    </w:p>
    <w:p w14:paraId="1C4ABAD4">
      <w:pPr>
        <w:ind w:left="3600" w:firstLine="720"/>
        <w:rPr>
          <w:lang w:val="hr-HR"/>
        </w:rPr>
      </w:pPr>
      <w:r>
        <w:rPr>
          <w:color w:val="FF0000"/>
          <w:lang w:val="hr-HR"/>
        </w:rPr>
        <w:t xml:space="preserve">                                     </w:t>
      </w:r>
      <w:r>
        <w:rPr>
          <w:lang w:val="hr-HR"/>
        </w:rPr>
        <w:t xml:space="preserve">PREDSJEDNIK </w:t>
      </w:r>
    </w:p>
    <w:p w14:paraId="1E5DE5D5">
      <w:pPr>
        <w:ind w:left="6096"/>
        <w:jc w:val="both"/>
        <w:rPr>
          <w:color w:val="auto"/>
          <w:lang w:val="hr-HR"/>
        </w:rPr>
      </w:pPr>
      <w:r>
        <w:rPr>
          <w:color w:val="auto"/>
          <w:lang w:val="hr-HR"/>
        </w:rPr>
        <w:t>Matea Vujnović, mag.iur.</w:t>
      </w:r>
    </w:p>
    <w:p w14:paraId="1D41FEBC">
      <w:pPr>
        <w:rPr>
          <w:color w:val="auto"/>
          <w:lang w:val="hr-HR"/>
        </w:rPr>
      </w:pPr>
      <w:r>
        <w:rPr>
          <w:color w:val="auto"/>
          <w:lang w:val="hr-HR"/>
        </w:rPr>
        <w:br w:type="page"/>
      </w:r>
    </w:p>
    <w:p w14:paraId="2E112B75">
      <w:pPr>
        <w:ind w:left="709"/>
        <w:rPr>
          <w:color w:val="auto"/>
          <w:lang w:val="hr-HR"/>
        </w:rPr>
      </w:pPr>
      <w:r>
        <w:rPr>
          <w:color w:val="auto"/>
          <w:lang w:val="hr-HR"/>
        </w:rPr>
        <w:t xml:space="preserve">2. POSEBNI DIO </w:t>
      </w:r>
    </w:p>
    <w:p w14:paraId="01B6D953">
      <w:pPr>
        <w:rPr>
          <w:color w:val="auto"/>
          <w:lang w:val="hr-HR"/>
        </w:rPr>
      </w:pPr>
    </w:p>
    <w:p w14:paraId="242F881C">
      <w:pPr>
        <w:ind w:firstLine="720"/>
        <w:rPr>
          <w:color w:val="auto"/>
          <w:lang w:val="hr-HR"/>
        </w:rPr>
      </w:pPr>
      <w:r>
        <w:rPr>
          <w:color w:val="auto"/>
          <w:lang w:val="hr-HR"/>
        </w:rPr>
        <w:t>Posebni dio sadrži:</w:t>
      </w:r>
    </w:p>
    <w:p w14:paraId="19F197FE">
      <w:pPr>
        <w:numPr>
          <w:ilvl w:val="0"/>
          <w:numId w:val="1"/>
        </w:numPr>
        <w:spacing w:after="160" w:line="252" w:lineRule="auto"/>
        <w:rPr>
          <w:color w:val="auto"/>
          <w:lang w:val="hr-HR"/>
        </w:rPr>
      </w:pPr>
      <w:r>
        <w:rPr>
          <w:color w:val="auto"/>
          <w:lang w:val="hr-HR"/>
        </w:rPr>
        <w:t>izvršenje po programskoj klasifikaciji</w:t>
      </w:r>
    </w:p>
    <w:p w14:paraId="2BFC1D62">
      <w:pPr>
        <w:rPr>
          <w:color w:val="auto"/>
          <w:lang w:val="hr-HR"/>
        </w:rPr>
      </w:pPr>
    </w:p>
    <w:p w14:paraId="7225EB25">
      <w:pPr>
        <w:ind w:firstLine="720"/>
        <w:rPr>
          <w:color w:val="auto"/>
          <w:lang w:val="hr-HR"/>
        </w:rPr>
      </w:pPr>
      <w:r>
        <w:rPr>
          <w:color w:val="auto"/>
          <w:lang w:val="hr-HR"/>
        </w:rPr>
        <w:t>2. 1. POSEBNI DIO – IZVRŠENJE PO PROGRAMSKOJ KLASIFIKACIJI</w:t>
      </w:r>
    </w:p>
    <w:p w14:paraId="5792C61D">
      <w:pPr>
        <w:rPr>
          <w:color w:val="auto"/>
          <w:lang w:val="hr-HR"/>
        </w:rPr>
      </w:pPr>
    </w:p>
    <w:p w14:paraId="5EDAFE1C">
      <w:pPr>
        <w:ind w:firstLine="720"/>
        <w:jc w:val="both"/>
        <w:rPr>
          <w:color w:val="auto"/>
          <w:lang w:val="hr-HR"/>
        </w:rPr>
      </w:pPr>
      <w:r>
        <w:rPr>
          <w:color w:val="auto"/>
          <w:lang w:val="hr-HR"/>
        </w:rPr>
        <w:t xml:space="preserve">Financijski plan Dječjeg vrtića Požega sastavljen je po programskoj klasifikaciji u razdjelu 004/Upravnom odjelu za društvene djelatnosti– glava 00403 Javne ustanove predškolskog odgoja – Proračunski korisnik 32738 Dječji vrtić Požega. </w:t>
      </w:r>
    </w:p>
    <w:p w14:paraId="3257C461">
      <w:pPr>
        <w:ind w:firstLine="720"/>
        <w:jc w:val="both"/>
        <w:rPr>
          <w:color w:val="auto"/>
          <w:lang w:val="hr-HR"/>
        </w:rPr>
      </w:pPr>
      <w:r>
        <w:rPr>
          <w:color w:val="auto"/>
          <w:lang w:val="hr-HR"/>
        </w:rPr>
        <w:t>Rashodi i izdaci po programskoj klasifikaciji, iskazani po upravnim odjelima i glavama planirani su i realizirani, kako slijedi:</w:t>
      </w:r>
    </w:p>
    <w:p w14:paraId="5ABD4DD4">
      <w:pPr>
        <w:jc w:val="both"/>
        <w:rPr>
          <w:color w:val="auto"/>
          <w:lang w:val="hr-HR"/>
        </w:rPr>
      </w:pPr>
    </w:p>
    <w:tbl>
      <w:tblPr>
        <w:tblStyle w:val="10"/>
        <w:tblW w:w="87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2"/>
        <w:gridCol w:w="1418"/>
        <w:gridCol w:w="1559"/>
        <w:gridCol w:w="2022"/>
      </w:tblGrid>
      <w:tr w14:paraId="2B9AC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42" w:type="dxa"/>
            <w:vAlign w:val="center"/>
          </w:tcPr>
          <w:p w14:paraId="7F3A14AE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RAZDJEL/GLAVA</w:t>
            </w:r>
          </w:p>
        </w:tc>
        <w:tc>
          <w:tcPr>
            <w:tcW w:w="1418" w:type="dxa"/>
            <w:vAlign w:val="center"/>
          </w:tcPr>
          <w:p w14:paraId="6817AD74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REBALANS 2024.</w:t>
            </w:r>
          </w:p>
        </w:tc>
        <w:tc>
          <w:tcPr>
            <w:tcW w:w="1559" w:type="dxa"/>
            <w:vAlign w:val="center"/>
          </w:tcPr>
          <w:p w14:paraId="3F8053DF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IZVRŠENJE 2024.</w:t>
            </w:r>
          </w:p>
        </w:tc>
        <w:tc>
          <w:tcPr>
            <w:tcW w:w="2022" w:type="dxa"/>
            <w:vAlign w:val="center"/>
          </w:tcPr>
          <w:p w14:paraId="64AB3F36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INDEKS</w:t>
            </w:r>
          </w:p>
          <w:p w14:paraId="7D00048E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izvršenje/rebalans</w:t>
            </w:r>
          </w:p>
        </w:tc>
      </w:tr>
      <w:tr w14:paraId="6BE4D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742" w:type="dxa"/>
            <w:vAlign w:val="center"/>
          </w:tcPr>
          <w:p w14:paraId="089BA628">
            <w:pPr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 xml:space="preserve">004 UPRAVNI ODJEL ZA DRUŠTVENE DJELATNOSTI </w:t>
            </w:r>
          </w:p>
        </w:tc>
        <w:tc>
          <w:tcPr>
            <w:tcW w:w="1418" w:type="dxa"/>
            <w:vAlign w:val="center"/>
          </w:tcPr>
          <w:p w14:paraId="5B0CBBCA">
            <w:pPr>
              <w:jc w:val="right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1.814.990,00</w:t>
            </w:r>
          </w:p>
        </w:tc>
        <w:tc>
          <w:tcPr>
            <w:tcW w:w="1559" w:type="dxa"/>
            <w:vAlign w:val="center"/>
          </w:tcPr>
          <w:p w14:paraId="6EE23905">
            <w:pPr>
              <w:jc w:val="right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1.799.860,39</w:t>
            </w:r>
          </w:p>
        </w:tc>
        <w:tc>
          <w:tcPr>
            <w:tcW w:w="2022" w:type="dxa"/>
            <w:vAlign w:val="center"/>
          </w:tcPr>
          <w:p w14:paraId="49022297">
            <w:pPr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99,17</w:t>
            </w:r>
          </w:p>
        </w:tc>
      </w:tr>
      <w:tr w14:paraId="71778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742" w:type="dxa"/>
            <w:vAlign w:val="center"/>
          </w:tcPr>
          <w:p w14:paraId="33417D16">
            <w:pPr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 xml:space="preserve">Glava 00403 Javne ustanove predškolskog odgoja </w:t>
            </w:r>
          </w:p>
        </w:tc>
        <w:tc>
          <w:tcPr>
            <w:tcW w:w="1418" w:type="dxa"/>
            <w:vAlign w:val="center"/>
          </w:tcPr>
          <w:p w14:paraId="28704290">
            <w:pPr>
              <w:jc w:val="right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1.814.990,00</w:t>
            </w:r>
          </w:p>
        </w:tc>
        <w:tc>
          <w:tcPr>
            <w:tcW w:w="1559" w:type="dxa"/>
            <w:vAlign w:val="center"/>
          </w:tcPr>
          <w:p w14:paraId="0EDBA051">
            <w:pPr>
              <w:jc w:val="right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1.799.860,39</w:t>
            </w:r>
          </w:p>
        </w:tc>
        <w:tc>
          <w:tcPr>
            <w:tcW w:w="2022" w:type="dxa"/>
            <w:vAlign w:val="center"/>
          </w:tcPr>
          <w:p w14:paraId="2D2C7E60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99,17</w:t>
            </w:r>
          </w:p>
        </w:tc>
      </w:tr>
      <w:tr w14:paraId="128DF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42" w:type="dxa"/>
            <w:vAlign w:val="center"/>
          </w:tcPr>
          <w:p w14:paraId="1940D246">
            <w:pPr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PRORAČUNSKI KORISNIK 32738 DJEČJI VRTIĆ POŽEGA</w:t>
            </w:r>
          </w:p>
        </w:tc>
        <w:tc>
          <w:tcPr>
            <w:tcW w:w="1418" w:type="dxa"/>
            <w:vAlign w:val="center"/>
          </w:tcPr>
          <w:p w14:paraId="03ABD798">
            <w:pPr>
              <w:jc w:val="right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1.814.990,00</w:t>
            </w:r>
          </w:p>
        </w:tc>
        <w:tc>
          <w:tcPr>
            <w:tcW w:w="1559" w:type="dxa"/>
            <w:vAlign w:val="center"/>
          </w:tcPr>
          <w:p w14:paraId="0D450DCE">
            <w:pPr>
              <w:jc w:val="right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1.799.860,39</w:t>
            </w:r>
          </w:p>
        </w:tc>
        <w:tc>
          <w:tcPr>
            <w:tcW w:w="2022" w:type="dxa"/>
            <w:vAlign w:val="center"/>
          </w:tcPr>
          <w:p w14:paraId="1B457B2E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99,17</w:t>
            </w:r>
          </w:p>
        </w:tc>
      </w:tr>
    </w:tbl>
    <w:p w14:paraId="0AF5BA5C">
      <w:pPr>
        <w:jc w:val="both"/>
        <w:rPr>
          <w:color w:val="auto"/>
          <w:lang w:val="hr-HR"/>
        </w:rPr>
      </w:pPr>
    </w:p>
    <w:p w14:paraId="78931898">
      <w:pPr>
        <w:ind w:firstLine="708"/>
        <w:jc w:val="both"/>
        <w:rPr>
          <w:color w:val="auto"/>
          <w:lang w:val="hr-HR"/>
        </w:rPr>
      </w:pPr>
      <w:r>
        <w:rPr>
          <w:color w:val="auto"/>
          <w:lang w:val="hr-HR"/>
        </w:rPr>
        <w:t>U nastavku se daje obrazloženje po Glavi 00403 Javne ustanove predškolskog odgoja, Proračunski korisnik 32738 DJEČJI VRTIĆ POŽEGA.</w:t>
      </w:r>
    </w:p>
    <w:p w14:paraId="6DEC136D">
      <w:pPr>
        <w:jc w:val="both"/>
        <w:rPr>
          <w:i/>
          <w:iCs/>
          <w:color w:val="auto"/>
          <w:lang w:val="hr-HR"/>
        </w:rPr>
      </w:pPr>
    </w:p>
    <w:p w14:paraId="7C3B04D9">
      <w:pPr>
        <w:jc w:val="both"/>
        <w:rPr>
          <w:color w:val="auto"/>
          <w:lang w:val="hr-HR"/>
        </w:rPr>
      </w:pPr>
      <w:r>
        <w:rPr>
          <w:i/>
          <w:iCs/>
          <w:color w:val="auto"/>
          <w:lang w:val="hr-HR"/>
        </w:rPr>
        <w:tab/>
      </w:r>
      <w:r>
        <w:rPr>
          <w:i/>
          <w:iCs/>
          <w:color w:val="auto"/>
          <w:lang w:val="hr-HR"/>
        </w:rPr>
        <w:t xml:space="preserve">Program Dječjeg vrtića Požega </w:t>
      </w:r>
      <w:r>
        <w:rPr>
          <w:color w:val="auto"/>
          <w:lang w:val="hr-HR"/>
        </w:rPr>
        <w:t>planiran je kroz Upravni odjel za društvene djelatnosti u iznosu od 1.814.990,00 EUR, a realiziran je u iznosu 1.799.860,39 EUR. Dječji vrtić Požega je ustanova predškolskog odgoja koja djeluje od 1992. godine. U Dječjem vrtiću ostvaruje se program njege, odgoja, obrazovanja, zdravstvene zaštite, prehrane i socijalne skrbi o djeci predškolske dobi, programi odgoja i obrazovanja djece u godini prije polaska u osnovnu školi, program ranog učenja stranih jezika i drugi programi umjetničkog, kulturnog, vjerskog i sportskog sadržaja.</w:t>
      </w:r>
    </w:p>
    <w:p w14:paraId="56909EB1">
      <w:pPr>
        <w:ind w:firstLine="709"/>
        <w:jc w:val="both"/>
        <w:rPr>
          <w:color w:val="auto"/>
          <w:lang w:val="hr-HR"/>
        </w:rPr>
      </w:pPr>
      <w:r>
        <w:rPr>
          <w:color w:val="auto"/>
          <w:lang w:val="hr-HR"/>
        </w:rPr>
        <w:t xml:space="preserve">Sredstva su predviđena i utrošena za realizaciju programa redovne djelatnosti. </w:t>
      </w:r>
    </w:p>
    <w:p w14:paraId="39B74FD6">
      <w:pPr>
        <w:ind w:firstLine="709"/>
        <w:jc w:val="both"/>
        <w:rPr>
          <w:color w:val="auto"/>
          <w:lang w:val="hr-HR"/>
        </w:rPr>
      </w:pPr>
      <w:r>
        <w:rPr>
          <w:color w:val="auto"/>
          <w:lang w:val="hr-HR"/>
        </w:rPr>
        <w:t>Program proračunskog korisnika, Dječji vrtić Požega sastoji se od aktivnosti i projekata navedenih u sljedećoj tablici:</w:t>
      </w:r>
    </w:p>
    <w:p w14:paraId="06DAD806">
      <w:pPr>
        <w:jc w:val="both"/>
        <w:rPr>
          <w:color w:val="auto"/>
          <w:lang w:val="hr-HR"/>
        </w:rPr>
      </w:pPr>
    </w:p>
    <w:tbl>
      <w:tblPr>
        <w:tblStyle w:val="10"/>
        <w:tblW w:w="8853" w:type="dxa"/>
        <w:jc w:val="center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969"/>
        <w:gridCol w:w="1531"/>
        <w:gridCol w:w="1531"/>
        <w:gridCol w:w="1822"/>
      </w:tblGrid>
      <w:tr w14:paraId="06CBF88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D02E21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PROGRAM 5000 REDOVNA DJELATNOST PREDŠKOLSKOG ODGOJA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B4AE8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REBALANS 2024.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23BA9FB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IZVRŠENJE 2024.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08CC7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INDEKS</w:t>
            </w:r>
          </w:p>
          <w:p w14:paraId="510060F8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izvršenje/rebalans</w:t>
            </w:r>
          </w:p>
        </w:tc>
      </w:tr>
      <w:tr w14:paraId="26E83DB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15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82CBB8">
            <w:pPr>
              <w:jc w:val="center"/>
              <w:rPr>
                <w:i/>
                <w:iCs/>
                <w:color w:val="auto"/>
                <w:sz w:val="20"/>
                <w:szCs w:val="20"/>
                <w:u w:val="single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Aktivnost A500001 OSNOVNA AKTIVNOST PREDŠKOLSKOG ODGOJA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E1A314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b/>
                <w:bCs/>
                <w:color w:val="auto"/>
                <w:sz w:val="20"/>
                <w:szCs w:val="20"/>
                <w:lang w:val="hr-HR"/>
              </w:rPr>
              <w:t>1.804.610,00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8E492E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b/>
                <w:bCs/>
                <w:color w:val="auto"/>
                <w:sz w:val="20"/>
                <w:szCs w:val="20"/>
                <w:lang w:val="hr-HR"/>
              </w:rPr>
              <w:t>1.791.191,81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A2E79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99,26</w:t>
            </w:r>
          </w:p>
        </w:tc>
      </w:tr>
      <w:tr w14:paraId="09FA6C9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7DA521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Kapitalni projekt K500001 NABAVA OPREME U PREDŠKOLSKOM ODGOJU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1E1B88D">
            <w:pPr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b/>
                <w:bCs/>
                <w:i/>
                <w:iCs/>
                <w:color w:val="auto"/>
                <w:sz w:val="20"/>
                <w:szCs w:val="20"/>
                <w:lang w:val="hr-HR"/>
              </w:rPr>
              <w:t>10.380,00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DB6B7D">
            <w:pPr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b/>
                <w:bCs/>
                <w:i/>
                <w:iCs/>
                <w:color w:val="auto"/>
                <w:sz w:val="20"/>
                <w:szCs w:val="20"/>
                <w:lang w:val="hr-HR"/>
              </w:rPr>
              <w:t>8.668,58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DEAD5F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83,51</w:t>
            </w:r>
          </w:p>
        </w:tc>
      </w:tr>
      <w:tr w14:paraId="23BF5B0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D683EF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UKUPNO JAVNA USTANOVA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F8391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1.814.990,00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1D5F91A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1.799.860,39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2F9F5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99,17</w:t>
            </w:r>
          </w:p>
        </w:tc>
      </w:tr>
    </w:tbl>
    <w:p w14:paraId="4ACAA5B4">
      <w:pPr>
        <w:jc w:val="both"/>
        <w:rPr>
          <w:color w:val="auto"/>
          <w:lang w:val="hr-HR"/>
        </w:rPr>
      </w:pPr>
    </w:p>
    <w:p w14:paraId="057AA08D">
      <w:pPr>
        <w:jc w:val="both"/>
        <w:rPr>
          <w:color w:val="auto"/>
          <w:lang w:val="hr-HR"/>
        </w:rPr>
      </w:pPr>
      <w:r>
        <w:rPr>
          <w:color w:val="auto"/>
          <w:lang w:val="hr-HR"/>
        </w:rPr>
        <w:t> </w:t>
      </w:r>
      <w:r>
        <w:rPr>
          <w:color w:val="auto"/>
          <w:lang w:val="hr-HR"/>
        </w:rPr>
        <w:tab/>
      </w:r>
      <w:r>
        <w:rPr>
          <w:color w:val="auto"/>
          <w:lang w:val="hr-HR"/>
        </w:rPr>
        <w:t xml:space="preserve">Program REDOVNA DJELATNOST PREDŠKOLSKOG ODGOJA je planiran rebalansom u iznosu 1.814.990,00 EUR, a realizirano je 1.799.860,39 EUR od čega je 1.791.191,81 EUR realizirano eura kroz Osnovnu aktivnost predškolskog odgoja i 8.668,58 EUR kroz Kapitalni projekt Nabave opreme u predškolskom odgoju. Aktivnosti ovoga programa usmjerene su obavljanju redovne djelatnosti. </w:t>
      </w:r>
    </w:p>
    <w:p w14:paraId="633CD5FA">
      <w:pPr>
        <w:jc w:val="both"/>
        <w:rPr>
          <w:color w:val="auto"/>
          <w:lang w:val="hr-HR"/>
        </w:rPr>
      </w:pPr>
    </w:p>
    <w:tbl>
      <w:tblPr>
        <w:tblStyle w:val="10"/>
        <w:tblW w:w="89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2088"/>
        <w:gridCol w:w="1136"/>
        <w:gridCol w:w="993"/>
        <w:gridCol w:w="1387"/>
        <w:gridCol w:w="1325"/>
      </w:tblGrid>
      <w:tr w14:paraId="6229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999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3D0D4E7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Pokazatelj uspješnosti</w:t>
            </w:r>
          </w:p>
        </w:tc>
        <w:tc>
          <w:tcPr>
            <w:tcW w:w="2088" w:type="dxa"/>
            <w:tcBorders>
              <w:top w:val="single" w:color="00000A" w:sz="8" w:space="0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BACB562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Definicija</w:t>
            </w:r>
          </w:p>
        </w:tc>
        <w:tc>
          <w:tcPr>
            <w:tcW w:w="1136" w:type="dxa"/>
            <w:tcBorders>
              <w:top w:val="single" w:color="00000A" w:sz="8" w:space="0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180636D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Jedinica</w:t>
            </w:r>
          </w:p>
        </w:tc>
        <w:tc>
          <w:tcPr>
            <w:tcW w:w="993" w:type="dxa"/>
            <w:tcBorders>
              <w:top w:val="single" w:color="00000A" w:sz="8" w:space="0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7EBB09F2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Polazna vrijednost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C03440F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Rebalans 2024.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7C5C66F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Izvršenje 31.12.2024.</w:t>
            </w:r>
          </w:p>
        </w:tc>
      </w:tr>
      <w:tr w14:paraId="08659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999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47FDE55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Povećanje broja djece obuhvaćene kraćim programom engleskog jezika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C98EA5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Povećanjem broja djece uključenih u program utječe se na razvijanje senzibilnosti za strani jezik kod većeg broja djece, te na govorne sposobnosti, percepciju i cjelokupni razvoj svakog pojedinog djeteta 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DEC947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udio djece obuhvaćen kraćim programom učenja engleskog jezika u ukupnom broju upisane djece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6A3A7D4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03C9D5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B1B4BC4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40</w:t>
            </w:r>
          </w:p>
        </w:tc>
      </w:tr>
      <w:tr w14:paraId="4007F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999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56B67F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Povećanje broja djece obuhvaćene kraćim programom ranog učenja informatike za djecu </w:t>
            </w:r>
          </w:p>
        </w:tc>
        <w:tc>
          <w:tcPr>
            <w:tcW w:w="2088" w:type="dxa"/>
            <w:tcBorders>
              <w:top w:val="single" w:color="00000A" w:sz="8" w:space="0"/>
              <w:left w:val="single" w:color="000000" w:sz="4" w:space="0"/>
              <w:bottom w:val="single" w:color="00000A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3F24C7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IK tehnologija nudi nove mogućnosti jačanja brojnih aspekata ranog djetinjstva. Djeca su izložena tehnologiji od rođenja i postavlja se pitanje koje vještine oni uistinu trebaju kako bi bili informatički pismeni.</w:t>
            </w:r>
          </w:p>
        </w:tc>
        <w:tc>
          <w:tcPr>
            <w:tcW w:w="1136" w:type="dxa"/>
            <w:tcBorders>
              <w:top w:val="single" w:color="00000A" w:sz="8" w:space="0"/>
              <w:left w:val="single" w:color="000000" w:sz="4" w:space="0"/>
              <w:bottom w:val="single" w:color="00000A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2AB706E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udio djece obuhvaćen kraćim programom ranog učenja informatike u ukupnom broju upisane djece</w:t>
            </w:r>
          </w:p>
        </w:tc>
        <w:tc>
          <w:tcPr>
            <w:tcW w:w="993" w:type="dxa"/>
            <w:tcBorders>
              <w:top w:val="single" w:color="00000A" w:sz="8" w:space="0"/>
              <w:left w:val="single" w:color="000000" w:sz="4" w:space="0"/>
              <w:bottom w:val="single" w:color="00000A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0B64F88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387" w:type="dxa"/>
            <w:tcBorders>
              <w:top w:val="single" w:color="00000A" w:sz="8" w:space="0"/>
              <w:left w:val="single" w:color="000000" w:sz="4" w:space="0"/>
              <w:bottom w:val="single" w:color="00000A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C3CE7E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25" w:type="dxa"/>
            <w:tcBorders>
              <w:top w:val="single" w:color="00000A" w:sz="8" w:space="0"/>
              <w:left w:val="single" w:color="000000" w:sz="4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644BBFB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0</w:t>
            </w:r>
          </w:p>
        </w:tc>
      </w:tr>
      <w:tr w14:paraId="477EF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999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8ABB68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Usklađenost s Državnim pedagoškim standardom  vezano uz broj djece i odgojitelja</w:t>
            </w:r>
          </w:p>
        </w:tc>
        <w:tc>
          <w:tcPr>
            <w:tcW w:w="2088" w:type="dxa"/>
            <w:tcBorders>
              <w:top w:val="single" w:color="00000A" w:sz="8" w:space="0"/>
              <w:left w:val="single" w:color="000000" w:sz="4" w:space="0"/>
              <w:bottom w:val="single" w:color="00000A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9F30E0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Broj djece u skupini mora biti u skladu s DPS-om kako bi se  osigurala kvaliteta odgojno-obrazovnog rada</w:t>
            </w:r>
          </w:p>
        </w:tc>
        <w:tc>
          <w:tcPr>
            <w:tcW w:w="1136" w:type="dxa"/>
            <w:tcBorders>
              <w:top w:val="single" w:color="00000A" w:sz="8" w:space="0"/>
              <w:left w:val="single" w:color="000000" w:sz="4" w:space="0"/>
              <w:bottom w:val="single" w:color="00000A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C8D9B8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broj djece u skupini u odnosu na broj odgojitelja</w:t>
            </w:r>
          </w:p>
        </w:tc>
        <w:tc>
          <w:tcPr>
            <w:tcW w:w="993" w:type="dxa"/>
            <w:tcBorders>
              <w:top w:val="single" w:color="00000A" w:sz="8" w:space="0"/>
              <w:left w:val="single" w:color="000000" w:sz="4" w:space="0"/>
              <w:bottom w:val="single" w:color="00000A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52F218E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19/2</w:t>
            </w:r>
          </w:p>
        </w:tc>
        <w:tc>
          <w:tcPr>
            <w:tcW w:w="1387" w:type="dxa"/>
            <w:tcBorders>
              <w:top w:val="single" w:color="00000A" w:sz="8" w:space="0"/>
              <w:left w:val="single" w:color="000000" w:sz="4" w:space="0"/>
              <w:bottom w:val="single" w:color="00000A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8EF57D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19/2</w:t>
            </w:r>
          </w:p>
        </w:tc>
        <w:tc>
          <w:tcPr>
            <w:tcW w:w="1325" w:type="dxa"/>
            <w:tcBorders>
              <w:top w:val="single" w:color="00000A" w:sz="8" w:space="0"/>
              <w:left w:val="single" w:color="000000" w:sz="4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2BC848A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20/3</w:t>
            </w:r>
          </w:p>
        </w:tc>
      </w:tr>
      <w:tr w14:paraId="3EE65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999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EB1116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Odgojitelji stručni suradnici i ravnatelj stručno su se usavršavali sukladno planu i programu koji donosi ministar nadležan za obrazovanje</w:t>
            </w:r>
          </w:p>
        </w:tc>
        <w:tc>
          <w:tcPr>
            <w:tcW w:w="2088" w:type="dxa"/>
            <w:tcBorders>
              <w:top w:val="single" w:color="00000A" w:sz="8" w:space="0"/>
              <w:left w:val="single" w:color="000000" w:sz="4" w:space="0"/>
              <w:bottom w:val="single" w:color="00000A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9E689A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Seminari i radionice doprinose profesionalnom rastu i razvoju koji su neophodni za kvalitetu provođenja predškolskog odgoja i obrazovanja</w:t>
            </w:r>
          </w:p>
        </w:tc>
        <w:tc>
          <w:tcPr>
            <w:tcW w:w="1136" w:type="dxa"/>
            <w:tcBorders>
              <w:top w:val="single" w:color="00000A" w:sz="8" w:space="0"/>
              <w:left w:val="single" w:color="000000" w:sz="4" w:space="0"/>
              <w:bottom w:val="single" w:color="00000A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96C237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A" w:sz="8" w:space="0"/>
              <w:left w:val="single" w:color="000000" w:sz="4" w:space="0"/>
              <w:bottom w:val="single" w:color="00000A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0FC21BB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387" w:type="dxa"/>
            <w:tcBorders>
              <w:top w:val="single" w:color="00000A" w:sz="8" w:space="0"/>
              <w:left w:val="single" w:color="000000" w:sz="4" w:space="0"/>
              <w:bottom w:val="single" w:color="00000A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B6B04C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325" w:type="dxa"/>
            <w:tcBorders>
              <w:top w:val="single" w:color="00000A" w:sz="8" w:space="0"/>
              <w:left w:val="single" w:color="000000" w:sz="4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F7CB069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19</w:t>
            </w:r>
          </w:p>
        </w:tc>
      </w:tr>
      <w:tr w14:paraId="4174B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999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EE9718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Povećanje broja kreativnih radionica u koje su uključeni roditelji</w:t>
            </w:r>
          </w:p>
        </w:tc>
        <w:tc>
          <w:tcPr>
            <w:tcW w:w="2088" w:type="dxa"/>
            <w:tcBorders>
              <w:top w:val="single" w:color="00000A" w:sz="8" w:space="0"/>
              <w:left w:val="single" w:color="000000" w:sz="4" w:space="0"/>
              <w:bottom w:val="single" w:color="00000A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3D5B8F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Radionicama se potiče motiviranost roditelja za sudjelovanje u radu vrtića</w:t>
            </w:r>
          </w:p>
        </w:tc>
        <w:tc>
          <w:tcPr>
            <w:tcW w:w="1136" w:type="dxa"/>
            <w:tcBorders>
              <w:top w:val="single" w:color="00000A" w:sz="8" w:space="0"/>
              <w:left w:val="single" w:color="000000" w:sz="4" w:space="0"/>
              <w:bottom w:val="single" w:color="00000A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BAD46B2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broj održanih radionica godišnje</w:t>
            </w:r>
          </w:p>
        </w:tc>
        <w:tc>
          <w:tcPr>
            <w:tcW w:w="993" w:type="dxa"/>
            <w:tcBorders>
              <w:top w:val="single" w:color="00000A" w:sz="8" w:space="0"/>
              <w:left w:val="single" w:color="000000" w:sz="4" w:space="0"/>
              <w:bottom w:val="single" w:color="00000A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2D3D814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122</w:t>
            </w:r>
          </w:p>
        </w:tc>
        <w:tc>
          <w:tcPr>
            <w:tcW w:w="1387" w:type="dxa"/>
            <w:tcBorders>
              <w:top w:val="single" w:color="00000A" w:sz="8" w:space="0"/>
              <w:left w:val="single" w:color="000000" w:sz="4" w:space="0"/>
              <w:bottom w:val="single" w:color="00000A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1A4EC3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117</w:t>
            </w:r>
          </w:p>
        </w:tc>
        <w:tc>
          <w:tcPr>
            <w:tcW w:w="1325" w:type="dxa"/>
            <w:tcBorders>
              <w:top w:val="single" w:color="00000A" w:sz="8" w:space="0"/>
              <w:left w:val="single" w:color="000000" w:sz="4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17AA377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120</w:t>
            </w:r>
          </w:p>
        </w:tc>
      </w:tr>
    </w:tbl>
    <w:p w14:paraId="19EB7D78">
      <w:pPr>
        <w:rPr>
          <w:color w:val="auto"/>
          <w:lang w:val="hr-HR"/>
        </w:rPr>
      </w:pPr>
    </w:p>
    <w:p w14:paraId="31D1E3C2">
      <w:pPr>
        <w:rPr>
          <w:color w:val="auto"/>
          <w:lang w:val="hr-HR"/>
        </w:rPr>
      </w:pPr>
    </w:p>
    <w:p w14:paraId="4CB7DDDB">
      <w:pPr>
        <w:rPr>
          <w:color w:val="auto"/>
          <w:lang w:val="hr-HR"/>
        </w:rPr>
      </w:pPr>
    </w:p>
    <w:p w14:paraId="3FCA469A">
      <w:pPr>
        <w:rPr>
          <w:color w:val="auto"/>
          <w:lang w:val="hr-HR"/>
        </w:rPr>
      </w:pPr>
      <w:r>
        <w:rPr>
          <w:color w:val="auto"/>
          <w:lang w:val="hr-HR"/>
        </w:rPr>
        <w:t>OBRAZLOŽENJE OSTVARENJA PRIHODA I PRIMITAKA, RASHODA I IZDATAKA</w:t>
      </w:r>
    </w:p>
    <w:p w14:paraId="27FF32E7">
      <w:pPr>
        <w:rPr>
          <w:color w:val="ED7D31"/>
          <w:lang w:val="hr-HR"/>
        </w:rPr>
      </w:pPr>
    </w:p>
    <w:p w14:paraId="52A3A0E5">
      <w:pPr>
        <w:ind w:left="360" w:firstLine="360"/>
        <w:jc w:val="both"/>
        <w:rPr>
          <w:lang w:val="hr-HR"/>
        </w:rPr>
      </w:pPr>
      <w:r>
        <w:rPr>
          <w:lang w:val="hr-HR"/>
        </w:rPr>
        <w:t>3.1 UVOD</w:t>
      </w:r>
    </w:p>
    <w:p w14:paraId="15CC0930">
      <w:pPr>
        <w:ind w:left="709"/>
        <w:rPr>
          <w:color w:val="auto"/>
          <w:lang w:val="hr-HR"/>
        </w:rPr>
      </w:pPr>
    </w:p>
    <w:p w14:paraId="0F1E6780">
      <w:pPr>
        <w:ind w:firstLine="360"/>
        <w:jc w:val="both"/>
        <w:rPr>
          <w:color w:val="auto"/>
          <w:lang w:val="hr-HR"/>
        </w:rPr>
      </w:pPr>
      <w:r>
        <w:rPr>
          <w:color w:val="auto"/>
          <w:lang w:val="hr-HR"/>
        </w:rPr>
        <w:tab/>
      </w:r>
      <w:r>
        <w:rPr>
          <w:color w:val="auto"/>
          <w:lang w:val="hr-HR"/>
        </w:rPr>
        <w:t xml:space="preserve">Financijski plan Dječjeg vrtića Požega za 2024. godinu usvojilo je Upravno vijeće Dječjeg vrtića Požega na 35. sjednici održanoj dana, 16. studenog 2023. godine (KLASA:601-02/23-09/12, URBROJ:2177-1-9-05-23-5). Financijskim planom Dječjeg vrtića Požega planirani su prihodi i primici u iznosu od 1.552.290,00 EUR dok su planirani rashodi i izdaci u iznosu od 1.552.290,00 EUR te preneseni višak iz prethodne godine iznosi 54,52 EUR.                            </w:t>
      </w:r>
    </w:p>
    <w:p w14:paraId="5C461272">
      <w:pPr>
        <w:ind w:firstLine="360"/>
        <w:jc w:val="both"/>
        <w:rPr>
          <w:color w:val="auto"/>
          <w:lang w:val="hr-HR"/>
        </w:rPr>
      </w:pPr>
      <w:r>
        <w:rPr>
          <w:color w:val="auto"/>
          <w:lang w:val="hr-HR"/>
        </w:rPr>
        <w:tab/>
      </w:r>
      <w:r>
        <w:rPr>
          <w:color w:val="auto"/>
          <w:lang w:val="hr-HR"/>
        </w:rPr>
        <w:t>I. izmjene i dopune Financijskog plana Dječjeg vrtića Požega za 2024. godinu usvojilo je Upravno vijeće na 43. sjednici održanoj dana, 13. lipnja 2024. godine Odlukom o usvajanju prijedloga prvog rebalansa proračuna Dječjeg vrtića Požega za 2024. godinu (KLASA: 601-02/24-09/7; URBROJ:2177-1-9-05-24-3) u visini 1.803.240,00 eura, s uključenim rezultatom.</w:t>
      </w:r>
    </w:p>
    <w:p w14:paraId="44777494">
      <w:pPr>
        <w:ind w:firstLine="360"/>
        <w:jc w:val="both"/>
        <w:rPr>
          <w:color w:val="auto"/>
          <w:lang w:val="hr-HR"/>
        </w:rPr>
      </w:pPr>
      <w:r>
        <w:rPr>
          <w:color w:val="auto"/>
          <w:lang w:val="hr-HR"/>
        </w:rPr>
        <w:tab/>
      </w:r>
      <w:r>
        <w:rPr>
          <w:color w:val="auto"/>
          <w:lang w:val="hr-HR"/>
        </w:rPr>
        <w:t>II. izmjene i dopune Financijskog plana Dječjeg vrtića Požega za 2024. godinu usvojilo je Upravno vijeće na 47. sjednici održanoj dana, 30. rujna 2024. godine Odlukom o usvajanju prijedloga drugog rebalansa Financijskog plana Dječjeg vrtića Požega za 2024. godinu (KLASA: 601-02/24-4; URBROJ:2177-1-9-05-24-4) u visini 1.823.450,00 euras uključenim rezultatom.</w:t>
      </w:r>
    </w:p>
    <w:p w14:paraId="0691F34F">
      <w:pPr>
        <w:ind w:firstLine="720"/>
        <w:jc w:val="both"/>
        <w:rPr>
          <w:color w:val="auto"/>
          <w:lang w:val="hr-HR"/>
        </w:rPr>
      </w:pPr>
      <w:r>
        <w:rPr>
          <w:color w:val="auto"/>
          <w:lang w:val="hr-HR"/>
        </w:rPr>
        <w:t>III. izmjene i dopune Financijskog plana Dječjeg vrtića Požega za 2024. godinu usvojilo je Upravno vijeće na 50. sjednici održanoj dana, 30. prosinca 2024. godine Odlukom o usvajanju prijedloga trećeg rebalansa Financijskog plana Dječjeg vrtića Požega za 2024. godinu (KLASA: 601-02/24-09/14; URBROJ:2177-1-9-05-24-3) u visini 1.814.990,00 eura, s uključenim rezultatom.</w:t>
      </w:r>
    </w:p>
    <w:p w14:paraId="178D8BEE">
      <w:pPr>
        <w:ind w:firstLine="360"/>
        <w:jc w:val="both"/>
        <w:rPr>
          <w:color w:val="auto"/>
          <w:lang w:val="hr-HR"/>
        </w:rPr>
      </w:pPr>
      <w:r>
        <w:rPr>
          <w:color w:val="auto"/>
          <w:lang w:val="hr-HR"/>
        </w:rPr>
        <w:tab/>
      </w:r>
    </w:p>
    <w:p w14:paraId="6D21446A">
      <w:pPr>
        <w:shd w:val="clear" w:color="auto" w:fill="FFFFFF"/>
        <w:ind w:firstLine="720"/>
        <w:jc w:val="both"/>
        <w:rPr>
          <w:color w:val="auto"/>
          <w:lang w:val="hr-HR"/>
        </w:rPr>
      </w:pPr>
      <w:r>
        <w:rPr>
          <w:color w:val="auto"/>
          <w:lang w:val="hr-HR"/>
        </w:rPr>
        <w:t>3.2. OPĆI DIO</w:t>
      </w:r>
    </w:p>
    <w:p w14:paraId="4740A63F">
      <w:pPr>
        <w:shd w:val="clear" w:color="auto" w:fill="FFFFFF"/>
        <w:jc w:val="both"/>
        <w:rPr>
          <w:lang w:val="hr-HR"/>
        </w:rPr>
      </w:pPr>
    </w:p>
    <w:p w14:paraId="7C90811A">
      <w:pPr>
        <w:ind w:firstLine="720"/>
        <w:jc w:val="both"/>
        <w:rPr>
          <w:lang w:val="hr-HR"/>
        </w:rPr>
      </w:pPr>
      <w:r>
        <w:rPr>
          <w:lang w:val="hr-HR"/>
        </w:rPr>
        <w:t>Opći dio sadrži:</w:t>
      </w:r>
    </w:p>
    <w:p w14:paraId="608F74CD">
      <w:pPr>
        <w:numPr>
          <w:ilvl w:val="0"/>
          <w:numId w:val="3"/>
        </w:numPr>
        <w:spacing w:line="252" w:lineRule="auto"/>
        <w:jc w:val="both"/>
        <w:rPr>
          <w:lang w:val="hr-HR"/>
        </w:rPr>
      </w:pPr>
      <w:r>
        <w:rPr>
          <w:lang w:val="hr-HR"/>
        </w:rPr>
        <w:t xml:space="preserve">sažetak A. Računa prihoda i rashoda i B. Račun financiranja. </w:t>
      </w:r>
    </w:p>
    <w:p w14:paraId="3E32EE43">
      <w:pPr>
        <w:numPr>
          <w:ilvl w:val="0"/>
          <w:numId w:val="3"/>
        </w:numPr>
        <w:spacing w:line="252" w:lineRule="auto"/>
        <w:jc w:val="both"/>
        <w:rPr>
          <w:lang w:val="hr-HR"/>
        </w:rPr>
      </w:pPr>
      <w:r>
        <w:rPr>
          <w:lang w:val="hr-HR"/>
        </w:rPr>
        <w:t xml:space="preserve">A. Račun prihoda i rashoda – prihodi i rashodi se iskazuju prema ekonomskoj klasifikaciji, prema izvorima financiranja i prema funkcijskoj klasifikaciji. </w:t>
      </w:r>
    </w:p>
    <w:p w14:paraId="36B0BFCC">
      <w:pPr>
        <w:numPr>
          <w:ilvl w:val="0"/>
          <w:numId w:val="3"/>
        </w:numPr>
        <w:spacing w:after="160" w:line="252" w:lineRule="auto"/>
        <w:jc w:val="both"/>
        <w:rPr>
          <w:lang w:val="hr-HR"/>
        </w:rPr>
      </w:pPr>
      <w:r>
        <w:rPr>
          <w:lang w:val="hr-HR"/>
        </w:rPr>
        <w:t>B. Račun financiranja – primici i izdaci se iskazuju prema ekonomskoj klasifikaciji i prema izvorima financiranja.</w:t>
      </w:r>
    </w:p>
    <w:p w14:paraId="009E49F0">
      <w:pPr>
        <w:ind w:firstLine="720"/>
        <w:jc w:val="both"/>
        <w:rPr>
          <w:color w:val="FF0000"/>
          <w:lang w:val="hr-HR"/>
        </w:rPr>
      </w:pPr>
    </w:p>
    <w:p w14:paraId="2BB68685">
      <w:pPr>
        <w:ind w:firstLine="720"/>
        <w:jc w:val="both"/>
        <w:rPr>
          <w:lang w:val="hr-HR"/>
        </w:rPr>
      </w:pPr>
      <w:r>
        <w:rPr>
          <w:lang w:val="hr-HR"/>
        </w:rPr>
        <w:t>3.2.1. SAŽETAK A. RAČUNA PRIHODA I RASHODA, PRIMITAKA I IZDATAKA I B. RAČUN FINANCIRANJA</w:t>
      </w:r>
    </w:p>
    <w:p w14:paraId="512C2E37">
      <w:pPr>
        <w:jc w:val="both"/>
        <w:rPr>
          <w:lang w:val="hr-HR"/>
        </w:rPr>
      </w:pPr>
    </w:p>
    <w:p w14:paraId="6464B19A">
      <w:pPr>
        <w:ind w:firstLine="720"/>
        <w:jc w:val="both"/>
        <w:rPr>
          <w:lang w:val="hr-HR"/>
        </w:rPr>
      </w:pPr>
      <w:r>
        <w:rPr>
          <w:lang w:val="hr-HR"/>
        </w:rPr>
        <w:t>Sažetak A. Računa prihoda i rashoda, primitaka i izdataka i B. Računa financiranja sadrži prikaz ukupno ostvarenih prihoda i primitaka, ostvarenih rashoda i izdataka na razini razreda ekonomske klasifikacije, prema izvorima financiranja, prema funkcijskoj klasifikaciji kao i višak/manjak</w:t>
      </w:r>
      <w:r>
        <w:rPr>
          <w:color w:val="FF0000"/>
          <w:lang w:val="hr-HR"/>
        </w:rPr>
        <w:t xml:space="preserve"> </w:t>
      </w:r>
      <w:r>
        <w:rPr>
          <w:lang w:val="hr-HR"/>
        </w:rPr>
        <w:t>sredstava koji se prenose u sljedeću godinu.</w:t>
      </w:r>
    </w:p>
    <w:p w14:paraId="1C46AA20">
      <w:pPr>
        <w:shd w:val="clear" w:color="auto" w:fill="FFFFFF"/>
        <w:jc w:val="both"/>
        <w:rPr>
          <w:color w:val="FF0000"/>
          <w:lang w:val="hr-HR"/>
        </w:rPr>
      </w:pPr>
    </w:p>
    <w:p w14:paraId="37DC168B">
      <w:pPr>
        <w:shd w:val="clear" w:color="auto" w:fill="FFFFFF"/>
        <w:ind w:left="720"/>
        <w:jc w:val="both"/>
        <w:rPr>
          <w:lang w:val="hr-HR"/>
        </w:rPr>
      </w:pPr>
      <w:r>
        <w:rPr>
          <w:lang w:val="hr-HR"/>
        </w:rPr>
        <w:t>3.2.2.  A. RAČUN PRIHODA I RASHODA – PRIHODI I RASHODI PREMA EKONOMSKOJ KLASIFIKACIJI</w:t>
      </w:r>
    </w:p>
    <w:p w14:paraId="6C09FDC5">
      <w:pPr>
        <w:shd w:val="clear" w:color="auto" w:fill="FFFFFF"/>
        <w:jc w:val="both"/>
        <w:rPr>
          <w:color w:val="FF0000"/>
          <w:lang w:val="hr-HR"/>
        </w:rPr>
      </w:pPr>
    </w:p>
    <w:p w14:paraId="513FD281">
      <w:pPr>
        <w:ind w:firstLine="709"/>
        <w:jc w:val="both"/>
        <w:rPr>
          <w:i/>
          <w:iCs/>
          <w:lang w:val="hr-HR"/>
        </w:rPr>
      </w:pPr>
      <w:r>
        <w:rPr>
          <w:i/>
          <w:iCs/>
          <w:lang w:val="hr-HR"/>
        </w:rPr>
        <w:t>Prihodi poslovanja</w:t>
      </w:r>
      <w:r>
        <w:rPr>
          <w:lang w:val="hr-HR"/>
        </w:rPr>
        <w:t xml:space="preserve"> ostvareni tijekom izvještajnog razdoblja iznose 1.795.146,85 EUR, što čini 98,91 % od plana. U odnosu na isto razdoblje 2023. godine ostvareni su prihodi veći za </w:t>
      </w:r>
      <w:r>
        <w:rPr>
          <w:color w:val="auto"/>
          <w:lang w:val="hr-HR"/>
        </w:rPr>
        <w:t>351.004,69 EUR ili 24,31%.</w:t>
      </w:r>
      <w:r>
        <w:rPr>
          <w:color w:val="993300"/>
          <w:lang w:val="hr-HR"/>
        </w:rPr>
        <w:t xml:space="preserve"> </w:t>
      </w:r>
    </w:p>
    <w:p w14:paraId="5695B4D3">
      <w:pPr>
        <w:shd w:val="clear" w:color="auto" w:fill="FFFFFF"/>
        <w:ind w:firstLine="709"/>
        <w:jc w:val="both"/>
        <w:rPr>
          <w:lang w:val="hr-HR"/>
        </w:rPr>
      </w:pPr>
      <w:r>
        <w:rPr>
          <w:i/>
          <w:iCs/>
          <w:lang w:val="hr-HR"/>
        </w:rPr>
        <w:t>Prihodi od prodaje nefinancijske imovine</w:t>
      </w:r>
      <w:r>
        <w:rPr>
          <w:lang w:val="hr-HR"/>
        </w:rPr>
        <w:t xml:space="preserve"> nisu ostvareni u izvještajnom razdoblju.</w:t>
      </w:r>
    </w:p>
    <w:p w14:paraId="486B3E6D">
      <w:pPr>
        <w:shd w:val="clear" w:color="auto" w:fill="FFFFFF"/>
        <w:ind w:firstLine="709"/>
        <w:jc w:val="both"/>
        <w:rPr>
          <w:lang w:val="hr-HR"/>
        </w:rPr>
      </w:pPr>
    </w:p>
    <w:p w14:paraId="17B2C564">
      <w:pPr>
        <w:shd w:val="clear" w:color="auto" w:fill="FFFFFF"/>
        <w:ind w:firstLine="709"/>
        <w:jc w:val="both"/>
        <w:rPr>
          <w:color w:val="FF0000"/>
          <w:lang w:val="hr-HR"/>
        </w:rPr>
      </w:pPr>
      <w:r>
        <w:rPr>
          <w:lang w:val="hr-HR"/>
        </w:rPr>
        <w:t>Pregled ostvarenih prihoda poslovanja i prihoda od prodaje nefinancijske imovine naveden je u sljedećoj tablici:</w:t>
      </w:r>
    </w:p>
    <w:tbl>
      <w:tblPr>
        <w:tblStyle w:val="10"/>
        <w:tblW w:w="9201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81"/>
        <w:gridCol w:w="1565"/>
        <w:gridCol w:w="1417"/>
        <w:gridCol w:w="1418"/>
        <w:gridCol w:w="1418"/>
        <w:gridCol w:w="1275"/>
        <w:gridCol w:w="1127"/>
      </w:tblGrid>
      <w:tr w14:paraId="533BAE7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99A37">
            <w:pPr>
              <w:shd w:val="clear" w:color="auto" w:fill="FFFFFF"/>
              <w:jc w:val="center"/>
              <w:rPr>
                <w:i/>
                <w:iCs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SKUPINA KONTA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8EA3D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NAZIV KONTA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8725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 xml:space="preserve">IZVRŠENJE 2023.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1DBFF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REBALANS 2024.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25A4D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 xml:space="preserve">IZVRŠENJE 2024.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D48B6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INDEKS (5/3*100)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88BFA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INDEX</w:t>
            </w:r>
          </w:p>
          <w:p w14:paraId="3837F9FE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(5/4* 100)</w:t>
            </w:r>
          </w:p>
        </w:tc>
      </w:tr>
      <w:tr w14:paraId="0656AF4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B30D">
            <w:pPr>
              <w:shd w:val="clear" w:color="auto" w:fill="FFFFFF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192CA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5AFDA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63E3A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4E3DE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CE1DB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CD8BE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</w:t>
            </w:r>
          </w:p>
        </w:tc>
      </w:tr>
      <w:tr w14:paraId="5689CD6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59735">
            <w:pPr>
              <w:shd w:val="clear" w:color="auto" w:fill="FFFFFF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PRIHODI POSLOVANJA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7949D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68487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EA9D5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74484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DD115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</w:p>
        </w:tc>
      </w:tr>
      <w:tr w14:paraId="2B0340A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F6319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63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0C806">
            <w:pPr>
              <w:shd w:val="clear" w:color="auto" w:fill="FFFFFF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Pomoći iz inozemstva i od subjekata unutar općeg proračuna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46A84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52.610,22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EB3DB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17.300,00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FD766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17.944,20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591D8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34,11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4B9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103,72</w:t>
            </w:r>
          </w:p>
        </w:tc>
      </w:tr>
      <w:tr w14:paraId="620AF0E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79BFE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44C4C">
            <w:pPr>
              <w:shd w:val="clear" w:color="auto" w:fill="FFFFFF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Prihodi od upravnih i administrativnih pristojbi, pristojbi po posebnim propisima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C97F2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351.441,10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64562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353.600,00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8B4CF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335.803,30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9CC98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95,55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D8FDE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94,97</w:t>
            </w:r>
          </w:p>
        </w:tc>
      </w:tr>
      <w:tr w14:paraId="4D8F7D2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98127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66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C0641">
            <w:pPr>
              <w:shd w:val="clear" w:color="auto" w:fill="FFFFFF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Prihodi od prodaje proizvoda i roba, te pruženih usluga i prihodi od donacija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66D52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1.204,96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7DB7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1.460,00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D8206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775,68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995FD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64,37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2F1B1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53,13</w:t>
            </w:r>
          </w:p>
        </w:tc>
      </w:tr>
      <w:tr w14:paraId="019B467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D004E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67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BCD55">
            <w:pPr>
              <w:shd w:val="clear" w:color="auto" w:fill="FFFFFF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Prihodi iz proračuna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99A11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1.037.601,88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0DAB7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1.440.980,00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E7109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1.438.973,05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57CE9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138,68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54A17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99,86</w:t>
            </w:r>
          </w:p>
        </w:tc>
      </w:tr>
      <w:tr w14:paraId="017FF4C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21D34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68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46FB0">
            <w:pPr>
              <w:shd w:val="clear" w:color="auto" w:fill="FFFFFF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Kazne, upravne mjere i ostali prihodi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41B59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1.284,00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1218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1.650,00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7887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1.650,62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632B9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128,55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31299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100,04</w:t>
            </w:r>
          </w:p>
        </w:tc>
      </w:tr>
      <w:tr w14:paraId="13CEBA8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5DA18">
            <w:pPr>
              <w:shd w:val="clear" w:color="auto" w:fill="FFFFFF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 xml:space="preserve">UKUPNO PRIHODI POSLOVANJA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EE800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1.444.142,16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7C951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1.814.990,00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6718A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1.795.146,85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B2A34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124,31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0E9B8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98,91</w:t>
            </w:r>
          </w:p>
        </w:tc>
      </w:tr>
    </w:tbl>
    <w:p w14:paraId="40805E94">
      <w:pPr>
        <w:jc w:val="both"/>
        <w:rPr>
          <w:color w:val="FF0000"/>
          <w:lang w:val="hr-HR"/>
        </w:rPr>
      </w:pPr>
    </w:p>
    <w:p w14:paraId="0B58AAD9">
      <w:pPr>
        <w:ind w:firstLine="708"/>
        <w:jc w:val="both"/>
        <w:rPr>
          <w:rFonts w:hint="default"/>
          <w:lang w:val="hr-HR"/>
        </w:rPr>
      </w:pPr>
      <w:r>
        <w:rPr>
          <w:i/>
          <w:iCs/>
          <w:lang w:val="hr-HR"/>
        </w:rPr>
        <w:t>Prihodi od pomoći iz inozemstva i od subjekata unutar općeg proračuna</w:t>
      </w:r>
      <w:r>
        <w:rPr>
          <w:lang w:val="hr-HR"/>
        </w:rPr>
        <w:t xml:space="preserve"> ostvareni su u iznosu od 17.944,</w:t>
      </w:r>
      <w:r>
        <w:rPr>
          <w:rFonts w:hint="default"/>
          <w:lang w:val="hr-HR"/>
        </w:rPr>
        <w:t>20</w:t>
      </w:r>
      <w:r>
        <w:rPr>
          <w:lang w:val="hr-HR"/>
        </w:rPr>
        <w:t xml:space="preserve"> EUR</w:t>
      </w:r>
      <w:r>
        <w:rPr>
          <w:rFonts w:hint="default"/>
          <w:lang w:val="hr-HR"/>
        </w:rPr>
        <w:t>, što je 103,72% od rebalansa, a u odnosu na isto razdoblje protekle godine manje za 65,89% ili 34.666,02 EUR. Razlog smanjenja ostvarenih prihoda u odnosu na 2023. godinu je završetak programa “Požeški limači”. (Ostvareni prihodi u promatranom izvještajnom razdoblju odnose se na prihod iz državnog proračuna u iznosu od 10.336,60 EUR, iz županijskog proračuna 3.445,60 EUR i iz općinskog proračuna -  Općina Brestovac 4.152,00 EUR).</w:t>
      </w:r>
    </w:p>
    <w:p w14:paraId="2AA4475D">
      <w:pPr>
        <w:ind w:firstLine="708"/>
        <w:jc w:val="both"/>
        <w:rPr>
          <w:rFonts w:hint="default"/>
          <w:lang w:val="hr-HR"/>
        </w:rPr>
      </w:pPr>
      <w:r>
        <w:rPr>
          <w:i/>
          <w:iCs/>
          <w:lang w:val="hr-HR"/>
        </w:rPr>
        <w:t>Prihodi od upravnih i administrativnih pristojbi, pristojbi po posebnim propisima</w:t>
      </w:r>
      <w:r>
        <w:rPr>
          <w:lang w:val="hr-HR"/>
        </w:rPr>
        <w:t xml:space="preserve"> ostvareni su u iznosu od 335.803,30 EUR</w:t>
      </w:r>
      <w:r>
        <w:rPr>
          <w:rFonts w:hint="default"/>
          <w:lang w:val="hr-HR"/>
        </w:rPr>
        <w:t xml:space="preserve">  što je 94,97% od rebalansa, a u odnosu na isto razdoblje protekle godine manje za 4,45% ili 15.637,80 EUR. Razlog smanjenja prihoda je neredovno izvršavanje obveza roditelja prema Vrtiću.</w:t>
      </w:r>
    </w:p>
    <w:p w14:paraId="36071D37">
      <w:pPr>
        <w:ind w:firstLine="708"/>
        <w:jc w:val="both"/>
        <w:rPr>
          <w:rFonts w:hint="default"/>
          <w:lang w:val="hr-HR"/>
        </w:rPr>
      </w:pPr>
      <w:r>
        <w:rPr>
          <w:i/>
          <w:iCs/>
          <w:lang w:val="hr-HR"/>
        </w:rPr>
        <w:t>Prihodi od prodaje proizvoda i robe te pruženih usluga i prihodi od donacija</w:t>
      </w:r>
      <w:r>
        <w:rPr>
          <w:lang w:val="hr-HR"/>
        </w:rPr>
        <w:t xml:space="preserve"> ostvareni su u iznosu od 775,68 EUR </w:t>
      </w:r>
      <w:r>
        <w:rPr>
          <w:rFonts w:hint="default"/>
          <w:lang w:val="hr-HR"/>
        </w:rPr>
        <w:t>što je 53,13% od rebalansa, a u odnosu na isto razdoblje protekle godine manje za 35,63% ili 429,28 EUR. U 2024. godini bio je smanjen opseg najma dvorane.</w:t>
      </w:r>
    </w:p>
    <w:p w14:paraId="182F73C6">
      <w:pPr>
        <w:shd w:val="clear" w:color="auto" w:fill="FFFFFF"/>
        <w:ind w:firstLine="708"/>
        <w:jc w:val="both"/>
        <w:rPr>
          <w:color w:val="auto"/>
          <w:lang w:val="hr-HR"/>
        </w:rPr>
      </w:pPr>
      <w:r>
        <w:rPr>
          <w:i/>
          <w:iCs/>
          <w:color w:val="auto"/>
          <w:lang w:val="hr-HR"/>
        </w:rPr>
        <w:t xml:space="preserve">Prihodi iz proračuna </w:t>
      </w:r>
      <w:r>
        <w:rPr>
          <w:color w:val="auto"/>
          <w:lang w:val="hr-HR"/>
        </w:rPr>
        <w:t>tj. prihodi ostvareni od Osnivača Dječjeg vrtića Požega ostvareni su iznosu od 1.</w:t>
      </w:r>
      <w:r>
        <w:rPr>
          <w:rFonts w:hint="default"/>
          <w:color w:val="auto"/>
          <w:lang w:val="hr-HR"/>
        </w:rPr>
        <w:t>438</w:t>
      </w:r>
      <w:r>
        <w:rPr>
          <w:color w:val="auto"/>
          <w:lang w:val="hr-HR"/>
        </w:rPr>
        <w:t>.</w:t>
      </w:r>
      <w:r>
        <w:rPr>
          <w:rFonts w:hint="default"/>
          <w:color w:val="auto"/>
          <w:lang w:val="hr-HR"/>
        </w:rPr>
        <w:t>973</w:t>
      </w:r>
      <w:r>
        <w:rPr>
          <w:color w:val="auto"/>
          <w:lang w:val="hr-HR"/>
        </w:rPr>
        <w:t>,</w:t>
      </w:r>
      <w:r>
        <w:rPr>
          <w:rFonts w:hint="default"/>
          <w:color w:val="auto"/>
          <w:lang w:val="hr-HR"/>
        </w:rPr>
        <w:t>05</w:t>
      </w:r>
      <w:r>
        <w:rPr>
          <w:color w:val="auto"/>
          <w:lang w:val="hr-HR"/>
        </w:rPr>
        <w:t xml:space="preserve"> eura što je ostvarenje od 99,96% u odnosu na rebalans, a </w:t>
      </w:r>
      <w:r>
        <w:rPr>
          <w:rFonts w:hint="default"/>
          <w:color w:val="auto"/>
          <w:lang w:val="hr-HR"/>
        </w:rPr>
        <w:t>više za 401.371,17 EUR u odnosu na</w:t>
      </w:r>
      <w:r>
        <w:rPr>
          <w:color w:val="auto"/>
          <w:lang w:val="hr-HR"/>
        </w:rPr>
        <w:t xml:space="preserve"> protekl</w:t>
      </w:r>
      <w:r>
        <w:rPr>
          <w:rFonts w:hint="default"/>
          <w:color w:val="auto"/>
          <w:lang w:val="hr-HR"/>
        </w:rPr>
        <w:t>u</w:t>
      </w:r>
      <w:r>
        <w:rPr>
          <w:color w:val="auto"/>
          <w:lang w:val="hr-HR"/>
        </w:rPr>
        <w:t xml:space="preserve"> godin</w:t>
      </w:r>
      <w:r>
        <w:rPr>
          <w:rFonts w:hint="default"/>
          <w:color w:val="auto"/>
          <w:lang w:val="hr-HR"/>
        </w:rPr>
        <w:t>u</w:t>
      </w:r>
      <w:r>
        <w:rPr>
          <w:color w:val="auto"/>
          <w:lang w:val="hr-HR"/>
        </w:rPr>
        <w:t>. Ostvareni prihodi odnose se na financiranje redovne djelatnosti Dječjeg vrtića Požega.</w:t>
      </w:r>
    </w:p>
    <w:p w14:paraId="4A39E40F">
      <w:pPr>
        <w:ind w:firstLine="708"/>
        <w:jc w:val="both"/>
        <w:rPr>
          <w:rFonts w:hint="default"/>
          <w:lang w:val="hr-HR"/>
        </w:rPr>
      </w:pPr>
      <w:r>
        <w:rPr>
          <w:rFonts w:hint="default"/>
          <w:lang w:val="hr-HR"/>
        </w:rPr>
        <w:tab/>
      </w:r>
      <w:r>
        <w:rPr>
          <w:rFonts w:hint="default"/>
          <w:i/>
          <w:iCs/>
          <w:lang w:val="hr-HR"/>
        </w:rPr>
        <w:t>Kazne upravne mjere i ostali prihodi</w:t>
      </w:r>
      <w:r>
        <w:rPr>
          <w:rFonts w:hint="default"/>
          <w:lang w:val="hr-HR"/>
        </w:rPr>
        <w:t xml:space="preserve"> </w:t>
      </w:r>
      <w:r>
        <w:rPr>
          <w:lang w:val="hr-HR"/>
        </w:rPr>
        <w:t xml:space="preserve">ostvareni su u iznosu od </w:t>
      </w:r>
      <w:r>
        <w:rPr>
          <w:rFonts w:hint="default"/>
          <w:lang w:val="hr-HR"/>
        </w:rPr>
        <w:t>1.650</w:t>
      </w:r>
      <w:r>
        <w:rPr>
          <w:lang w:val="hr-HR"/>
        </w:rPr>
        <w:t>,</w:t>
      </w:r>
      <w:r>
        <w:rPr>
          <w:rFonts w:hint="default"/>
          <w:lang w:val="hr-HR"/>
        </w:rPr>
        <w:t>62</w:t>
      </w:r>
      <w:r>
        <w:rPr>
          <w:lang w:val="hr-HR"/>
        </w:rPr>
        <w:t xml:space="preserve"> EUR </w:t>
      </w:r>
      <w:r>
        <w:rPr>
          <w:rFonts w:hint="default"/>
          <w:lang w:val="hr-HR"/>
        </w:rPr>
        <w:t>što je 100,04% od rebalansa, a u odnosu na isto razdoblje protekle godine više za 28,55% ili 366,62 EUR. Povećanje je rezultat veće cijene police osiguranja.</w:t>
      </w:r>
    </w:p>
    <w:p w14:paraId="1CEF0E8B">
      <w:pPr>
        <w:tabs>
          <w:tab w:val="left" w:pos="912"/>
        </w:tabs>
        <w:jc w:val="both"/>
        <w:rPr>
          <w:color w:val="FF0000"/>
          <w:lang w:val="hr-HR"/>
        </w:rPr>
      </w:pPr>
    </w:p>
    <w:p w14:paraId="2122230A">
      <w:pPr>
        <w:tabs>
          <w:tab w:val="left" w:pos="912"/>
        </w:tabs>
        <w:jc w:val="both"/>
        <w:rPr>
          <w:color w:val="FF0000"/>
          <w:lang w:val="hr-HR"/>
        </w:rPr>
      </w:pPr>
    </w:p>
    <w:p w14:paraId="7A7C0CCA">
      <w:pPr>
        <w:shd w:val="clear" w:color="auto" w:fill="FFFFFF"/>
        <w:ind w:firstLine="708"/>
        <w:jc w:val="both"/>
        <w:rPr>
          <w:lang w:val="hr-HR"/>
        </w:rPr>
      </w:pPr>
      <w:r>
        <w:rPr>
          <w:i/>
          <w:iCs/>
          <w:lang w:val="hr-HR"/>
        </w:rPr>
        <w:t>Rashodi poslovanja</w:t>
      </w:r>
      <w:r>
        <w:rPr>
          <w:lang w:val="hr-HR"/>
        </w:rPr>
        <w:t xml:space="preserve"> realizirani tijekom izvještajnog razdoblja iznose 1.795.624,61 EUR, što predstavlja 99,17</w:t>
      </w:r>
      <w:r>
        <w:rPr>
          <w:color w:val="FF0000"/>
          <w:lang w:val="hr-HR"/>
        </w:rPr>
        <w:t xml:space="preserve"> </w:t>
      </w:r>
      <w:r>
        <w:rPr>
          <w:lang w:val="hr-HR"/>
        </w:rPr>
        <w:t xml:space="preserve">% realizacije u odnosu na rebalans, a u odnosu na proteklu godinu veći su za 23,61% ili 343.005,39 EUR. </w:t>
      </w:r>
    </w:p>
    <w:p w14:paraId="7B4D0E51">
      <w:pPr>
        <w:ind w:firstLine="708"/>
        <w:jc w:val="both"/>
        <w:rPr>
          <w:lang w:val="hr-HR"/>
        </w:rPr>
      </w:pPr>
      <w:r>
        <w:rPr>
          <w:i/>
          <w:iCs/>
          <w:lang w:val="hr-HR"/>
        </w:rPr>
        <w:t>Rashodi za nabavu nefinancijske imovine</w:t>
      </w:r>
      <w:r>
        <w:rPr>
          <w:lang w:val="hr-HR"/>
        </w:rPr>
        <w:t xml:space="preserve"> ostvareni tijekom izvještajnog razdoblja iznose 4.235,78 EUR, što  predstavlja 96,71 % realizacije u odnosu na rebalans, a u odnosu na poteklu godinu manji su za 1,34 % ili 57,62 EUR. </w:t>
      </w:r>
    </w:p>
    <w:p w14:paraId="7F111A2F">
      <w:pPr>
        <w:ind w:firstLine="708"/>
        <w:jc w:val="both"/>
        <w:rPr>
          <w:lang w:val="hr-HR"/>
        </w:rPr>
      </w:pPr>
    </w:p>
    <w:p w14:paraId="23D02F6B">
      <w:pPr>
        <w:ind w:firstLine="708"/>
        <w:jc w:val="both"/>
        <w:rPr>
          <w:lang w:val="hr-HR"/>
        </w:rPr>
      </w:pPr>
      <w:r>
        <w:rPr>
          <w:lang w:val="hr-HR"/>
        </w:rPr>
        <w:t>Pregled ostvarenih rashoda poslovanja i rashoda za nabavu nefinancijske imovine iskazan je u slijedećoj tablici:</w:t>
      </w:r>
    </w:p>
    <w:tbl>
      <w:tblPr>
        <w:tblStyle w:val="10"/>
        <w:tblW w:w="9428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"/>
        <w:gridCol w:w="987"/>
        <w:gridCol w:w="1705"/>
        <w:gridCol w:w="1411"/>
        <w:gridCol w:w="1560"/>
        <w:gridCol w:w="1273"/>
        <w:gridCol w:w="1294"/>
        <w:gridCol w:w="1192"/>
      </w:tblGrid>
      <w:tr w14:paraId="3A03F05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90491DC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SKUPINA KONTA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0A388BD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NAZIV KONTA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76B246C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 xml:space="preserve">IZVRŠENJE 2023.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A60434B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REBALANS 2024.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4A639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 xml:space="preserve">IZVRŠENJE 2024.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17175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INDEKS</w:t>
            </w:r>
          </w:p>
          <w:p w14:paraId="6196D821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(5/3*100)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9BBF4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INDEX</w:t>
            </w:r>
          </w:p>
          <w:p w14:paraId="43D97B64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(5/4* 100)</w:t>
            </w:r>
          </w:p>
        </w:tc>
      </w:tr>
      <w:tr w14:paraId="48C113B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70907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636C5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513C468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4D0E89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37EF4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2F810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53B95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</w:t>
            </w:r>
          </w:p>
        </w:tc>
      </w:tr>
      <w:tr w14:paraId="5259BA6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284" w:hRule="atLeast"/>
          <w:jc w:val="center"/>
        </w:trPr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92A73B">
            <w:pPr>
              <w:jc w:val="both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RASHODI POSLOVANJA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39BBA8A">
            <w:pPr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1.452.619,22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0860235">
            <w:pPr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1.810.610,00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D5653">
            <w:pPr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1.795.624,61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5E102">
            <w:pPr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123,61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85A3A">
            <w:pPr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99,17</w:t>
            </w:r>
          </w:p>
        </w:tc>
      </w:tr>
      <w:tr w14:paraId="0421149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284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408978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A21B15B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Rashodi za zaposlene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5A2F211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1.239.852,34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980C43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1.573.720,00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9C8AA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1.571.662,72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FF1E5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126,76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E25A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99,87</w:t>
            </w:r>
          </w:p>
        </w:tc>
      </w:tr>
      <w:tr w14:paraId="7392478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284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207DBBE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6DD3E44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Materijalni rashodi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244B33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212.765,56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5A6C4B6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236.770,00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ACC42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223.960,28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3DE7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105,26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0A1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94,59</w:t>
            </w:r>
          </w:p>
        </w:tc>
      </w:tr>
      <w:tr w14:paraId="3B09141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284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54ECD87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9F5CFDC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Financijski rashodi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8430B53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1,32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3653B8E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120,00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E4608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1,61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8C0B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121,97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587CA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1,34</w:t>
            </w:r>
          </w:p>
        </w:tc>
      </w:tr>
      <w:tr w14:paraId="2C96E54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284" w:hRule="atLeast"/>
          <w:jc w:val="center"/>
        </w:trPr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E22183D">
            <w:pPr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RASHODI ZA NABAVU NEFINANCIJSKE IMOVINE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3E6967E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4.293,40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E2B151B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4.380,00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266A0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4.235,78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EAFB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98,66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1674D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96,71</w:t>
            </w:r>
          </w:p>
        </w:tc>
      </w:tr>
      <w:tr w14:paraId="60F4CC3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284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46181AE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22E5DBF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Rashodi za nabavu proizvedene dugotrajne imovine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1B311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4.293,40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3B9C47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4.380,00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70F3B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4.235,78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18F0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98,66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EAF8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96,71</w:t>
            </w:r>
          </w:p>
        </w:tc>
      </w:tr>
      <w:tr w14:paraId="00D17D0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284" w:hRule="atLeast"/>
          <w:jc w:val="center"/>
        </w:trPr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B1E8FE0">
            <w:pPr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UKUPNO RASHODI POSLOVANJA I RASHODI ZA NABAVU NEFINANCIJSKE IMOVINE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48BA95B">
            <w:pPr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1.456.912,62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3FA66F4">
            <w:pPr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1.814.990,00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F746C">
            <w:pPr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1.799.860,39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FE263">
            <w:pPr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123,54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6078">
            <w:pPr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99,17</w:t>
            </w:r>
          </w:p>
        </w:tc>
      </w:tr>
    </w:tbl>
    <w:p w14:paraId="519ABCC4">
      <w:pPr>
        <w:ind w:firstLine="708"/>
        <w:jc w:val="both"/>
        <w:rPr>
          <w:i/>
          <w:iCs/>
          <w:color w:val="FF0000"/>
          <w:lang w:val="hr-HR"/>
        </w:rPr>
      </w:pPr>
    </w:p>
    <w:p w14:paraId="14571E2E">
      <w:pPr>
        <w:spacing w:after="0" w:line="240" w:lineRule="auto"/>
        <w:ind w:firstLine="720" w:firstLineChars="0"/>
        <w:jc w:val="both"/>
        <w:rPr>
          <w:lang w:val="hr-HR"/>
        </w:rPr>
      </w:pPr>
      <w:r>
        <w:rPr>
          <w:i/>
          <w:iCs/>
          <w:lang w:val="hr-HR"/>
        </w:rPr>
        <w:t>Rashodi za zaposlene</w:t>
      </w:r>
      <w:r>
        <w:rPr>
          <w:lang w:val="hr-HR"/>
        </w:rPr>
        <w:t xml:space="preserve"> realizirani tijekom izvještajnog razdoblja iznose 1.</w:t>
      </w:r>
      <w:r>
        <w:rPr>
          <w:rFonts w:hint="default"/>
          <w:lang w:val="hr-HR"/>
        </w:rPr>
        <w:t>571</w:t>
      </w:r>
      <w:r>
        <w:rPr>
          <w:lang w:val="hr-HR"/>
        </w:rPr>
        <w:t>.</w:t>
      </w:r>
      <w:r>
        <w:rPr>
          <w:rFonts w:hint="default"/>
          <w:lang w:val="hr-HR"/>
        </w:rPr>
        <w:t>662</w:t>
      </w:r>
      <w:r>
        <w:rPr>
          <w:lang w:val="hr-HR"/>
        </w:rPr>
        <w:t>,</w:t>
      </w:r>
      <w:r>
        <w:rPr>
          <w:rFonts w:hint="default"/>
          <w:lang w:val="hr-HR"/>
        </w:rPr>
        <w:t>72</w:t>
      </w:r>
      <w:r>
        <w:rPr>
          <w:lang w:val="hr-HR"/>
        </w:rPr>
        <w:t xml:space="preserve"> EUR, što je 99,</w:t>
      </w:r>
      <w:r>
        <w:rPr>
          <w:rFonts w:hint="default"/>
          <w:lang w:val="hr-HR"/>
        </w:rPr>
        <w:t>8</w:t>
      </w:r>
      <w:r>
        <w:rPr>
          <w:lang w:val="hr-HR"/>
        </w:rPr>
        <w:t>7 % od rebalansa, a u odnosu na isto razdoblje protekle godine više za 26,76 % ili 331</w:t>
      </w:r>
      <w:r>
        <w:rPr>
          <w:rFonts w:hint="default"/>
          <w:lang w:val="hr-HR"/>
        </w:rPr>
        <w:t>.</w:t>
      </w:r>
      <w:r>
        <w:rPr>
          <w:lang w:val="hr-HR"/>
        </w:rPr>
        <w:t>810,38 EUR. Razlog povećanja je rast broja zaposlenih u Dječjem vrtiću u odnosu na 2023. godinu</w:t>
      </w:r>
      <w:r>
        <w:rPr>
          <w:rFonts w:hint="default"/>
          <w:lang w:val="hr-HR"/>
        </w:rPr>
        <w:t xml:space="preserve">, </w:t>
      </w:r>
      <w:r>
        <w:rPr>
          <w:lang w:val="hr-HR"/>
        </w:rPr>
        <w:t>kao i povećanje koeficijenata i osnovice za obračun plaće za sve zaposlene</w:t>
      </w:r>
      <w:r>
        <w:rPr>
          <w:rFonts w:hint="default"/>
          <w:lang w:val="hr-HR"/>
        </w:rPr>
        <w:t>, temeljem Sporazuma o osnovici, koeficijentu i dodatku na plaću u Dječjem vrtiću Požega (</w:t>
      </w:r>
      <w:r>
        <w:rPr>
          <w:rFonts w:ascii="Times New Roman" w:hAnsi="Times New Roman" w:cs="Times New Roman"/>
          <w:lang w:val="hr-HR"/>
        </w:rPr>
        <w:t xml:space="preserve">Sukladno </w:t>
      </w:r>
      <w:r>
        <w:rPr>
          <w:rFonts w:ascii="Times New Roman" w:hAnsi="Times New Roman" w:cs="Times New Roman"/>
          <w:color w:val="222222"/>
          <w:szCs w:val="24"/>
          <w:shd w:val="clear" w:color="auto" w:fill="FFFFFF"/>
          <w:lang w:val="hr-HR"/>
        </w:rPr>
        <w:t>dogovoru Vlade Republike Hrvatske sa Sindikatima javnih i državnih službi od 26. listopada 2022. godine</w:t>
      </w:r>
      <w:r>
        <w:rPr>
          <w:rFonts w:hint="default" w:cs="Times New Roman"/>
          <w:color w:val="222222"/>
          <w:szCs w:val="24"/>
          <w:shd w:val="clear" w:color="auto" w:fill="FFFFFF"/>
          <w:lang w:val="hr-HR"/>
        </w:rPr>
        <w:t>). Osim navedenih rashoda tekođer je bilo još i isplata jubilarnih nagrada.</w:t>
      </w:r>
    </w:p>
    <w:p w14:paraId="5342CC09">
      <w:pPr>
        <w:ind w:firstLine="708"/>
        <w:jc w:val="both"/>
        <w:rPr>
          <w:color w:val="auto"/>
          <w:lang w:val="hr-HR"/>
        </w:rPr>
      </w:pPr>
      <w:r>
        <w:rPr>
          <w:i/>
          <w:iCs/>
          <w:lang w:val="hr-HR"/>
        </w:rPr>
        <w:t>Materijalni rashodi</w:t>
      </w:r>
      <w:r>
        <w:rPr>
          <w:lang w:val="hr-HR"/>
        </w:rPr>
        <w:t xml:space="preserve"> realizirani tijekom izvještajnog razdoblja iznose 223.960,28 EUR, što je 94,59 % od rebalansa, a za 5,26 % ili 11.194,72 više nego prethodne godine. </w:t>
      </w:r>
      <w:r>
        <w:rPr>
          <w:color w:val="auto"/>
          <w:lang w:val="hr-HR"/>
        </w:rPr>
        <w:t>Od materijalnih rashoda najznačajniji su rashodi za materijal i energiju (namirnice, električna energija, sitni inventar)</w:t>
      </w:r>
      <w:r>
        <w:rPr>
          <w:rFonts w:hint="default"/>
          <w:color w:val="auto"/>
          <w:lang w:val="hr-HR"/>
        </w:rPr>
        <w:t>,</w:t>
      </w:r>
      <w:r>
        <w:rPr>
          <w:color w:val="auto"/>
          <w:lang w:val="hr-HR"/>
        </w:rPr>
        <w:t xml:space="preserve"> zatim rashodi za usluge (usluge tekućeg i investicijskog održavanja objekata i opreme</w:t>
      </w:r>
      <w:r>
        <w:rPr>
          <w:rFonts w:hint="default"/>
          <w:color w:val="auto"/>
          <w:lang w:val="hr-HR"/>
        </w:rPr>
        <w:t>)</w:t>
      </w:r>
      <w:r>
        <w:rPr>
          <w:color w:val="auto"/>
          <w:lang w:val="hr-HR"/>
        </w:rPr>
        <w:t xml:space="preserve"> te naknade troškova zaposlenicima (naknada za prijevoz na posao i s posla, službena putovanja).</w:t>
      </w:r>
    </w:p>
    <w:p w14:paraId="319B9C4A">
      <w:pPr>
        <w:ind w:firstLine="708"/>
        <w:jc w:val="both"/>
        <w:rPr>
          <w:lang w:val="hr-HR"/>
        </w:rPr>
      </w:pPr>
      <w:r>
        <w:rPr>
          <w:i/>
          <w:iCs/>
          <w:lang w:val="hr-HR"/>
        </w:rPr>
        <w:t xml:space="preserve">Financijskih rashoda </w:t>
      </w:r>
      <w:r>
        <w:rPr>
          <w:lang w:val="hr-HR"/>
        </w:rPr>
        <w:t>realizirani tijekom izvještajnog razdoblja iznose 1,61 EUR, što je 1.34 % od rebalansa, au odnosu na isto razdoblje protekle godine više za 21,97 %  ili 0,29 EUR.</w:t>
      </w:r>
    </w:p>
    <w:p w14:paraId="40FA3578">
      <w:pPr>
        <w:ind w:firstLine="708"/>
        <w:jc w:val="both"/>
        <w:rPr>
          <w:rFonts w:hint="default"/>
          <w:lang w:val="hr-HR"/>
        </w:rPr>
      </w:pPr>
      <w:r>
        <w:rPr>
          <w:i/>
          <w:iCs/>
          <w:lang w:val="hr-HR"/>
        </w:rPr>
        <w:t>Rashodi za nabavu proizvedene dugotrajne imovine</w:t>
      </w:r>
      <w:r>
        <w:rPr>
          <w:lang w:val="hr-HR"/>
        </w:rPr>
        <w:t xml:space="preserve"> realizirani tijekom izvještajnog razdoblja iznose 4.235,78 EUR što je 96,71 % od rebalansa, a u odnosu na isto razdoblje protekle godine manje za 1,34 % ili 57,62 EUR.</w:t>
      </w:r>
      <w:r>
        <w:rPr>
          <w:rFonts w:hint="default"/>
          <w:lang w:val="hr-HR"/>
        </w:rPr>
        <w:t xml:space="preserve"> Od dugotrajne imovine nabavljeno je jedno računalo, pianino i klima uređaj za objekt Cvjetna livada.</w:t>
      </w:r>
    </w:p>
    <w:p w14:paraId="7AFAD495">
      <w:pPr>
        <w:ind w:firstLine="708"/>
        <w:jc w:val="both"/>
        <w:rPr>
          <w:lang w:val="hr-HR"/>
        </w:rPr>
      </w:pPr>
    </w:p>
    <w:p w14:paraId="2FB09696">
      <w:pPr>
        <w:ind w:firstLine="708"/>
        <w:jc w:val="both"/>
        <w:rPr>
          <w:lang w:val="hr-HR"/>
        </w:rPr>
      </w:pPr>
    </w:p>
    <w:p w14:paraId="2B630D80">
      <w:pPr>
        <w:ind w:firstLine="708"/>
        <w:jc w:val="both"/>
        <w:rPr>
          <w:lang w:val="hr-HR"/>
        </w:rPr>
      </w:pPr>
      <w:r>
        <w:rPr>
          <w:lang w:val="hr-HR"/>
        </w:rPr>
        <w:t>3.2.3. A. RAČUN PRIHODA I RASHODA - PRIHODI I RASHODI PREMA IZVORIMA FINANCIRANJA</w:t>
      </w:r>
    </w:p>
    <w:p w14:paraId="2C14C6DE">
      <w:pPr>
        <w:jc w:val="both"/>
        <w:rPr>
          <w:lang w:val="hr-HR"/>
        </w:rPr>
      </w:pPr>
    </w:p>
    <w:p w14:paraId="0597817A">
      <w:pPr>
        <w:ind w:firstLine="708"/>
        <w:jc w:val="both"/>
        <w:rPr>
          <w:lang w:val="hr-HR"/>
        </w:rPr>
      </w:pPr>
      <w:r>
        <w:rPr>
          <w:lang w:val="hr-HR"/>
        </w:rPr>
        <w:t>Vrijednosno najznačajniji prihodi, a time i rashodi po izvorima Financijskog plana čine opći prihodi i primici zatim prihodi za posebne namjene i pomoći dok su prihodi, a samim time i rashodi ostvareni iz donacija najmanje ostvareni.</w:t>
      </w:r>
    </w:p>
    <w:p w14:paraId="752223BF">
      <w:pPr>
        <w:ind w:firstLine="708"/>
        <w:jc w:val="both"/>
        <w:rPr>
          <w:lang w:val="hr-HR"/>
        </w:rPr>
      </w:pPr>
    </w:p>
    <w:p w14:paraId="035184A7">
      <w:pPr>
        <w:ind w:firstLine="708"/>
        <w:jc w:val="both"/>
        <w:rPr>
          <w:lang w:val="hr-HR"/>
        </w:rPr>
      </w:pPr>
    </w:p>
    <w:p w14:paraId="48532DF6">
      <w:pPr>
        <w:ind w:firstLine="708"/>
        <w:jc w:val="both"/>
        <w:rPr>
          <w:lang w:val="hr-HR"/>
        </w:rPr>
      </w:pPr>
      <w:r>
        <w:rPr>
          <w:lang w:val="hr-HR"/>
        </w:rPr>
        <w:t>3.2.4.</w:t>
      </w:r>
      <w:r>
        <w:rPr>
          <w:rFonts w:hint="default"/>
          <w:lang w:val="hr-HR"/>
        </w:rPr>
        <w:t xml:space="preserve"> </w:t>
      </w:r>
      <w:r>
        <w:rPr>
          <w:lang w:val="hr-HR"/>
        </w:rPr>
        <w:t>A. RAČUN PRIHODA I RASHODA - PRIHODI I RASHODI PREMA FUNKCIJSKOJ KLASIFIKACIJI</w:t>
      </w:r>
    </w:p>
    <w:p w14:paraId="29D401F3">
      <w:pPr>
        <w:jc w:val="both"/>
        <w:rPr>
          <w:lang w:val="hr-HR"/>
        </w:rPr>
      </w:pPr>
    </w:p>
    <w:p w14:paraId="5ACE3805">
      <w:pPr>
        <w:ind w:firstLine="708"/>
        <w:jc w:val="both"/>
        <w:rPr>
          <w:lang w:val="hr-HR"/>
        </w:rPr>
      </w:pPr>
      <w:r>
        <w:rPr>
          <w:lang w:val="hr-HR"/>
        </w:rPr>
        <w:t>U računu prihoda i rashoda prema funkcijskoj klasifikaciji rashodi su realizirani za namjenu predškolskog i osnovnog obrazovanja.</w:t>
      </w:r>
    </w:p>
    <w:p w14:paraId="074501A3">
      <w:pPr>
        <w:ind w:left="709"/>
        <w:jc w:val="both"/>
        <w:rPr>
          <w:lang w:val="hr-HR"/>
        </w:rPr>
      </w:pPr>
    </w:p>
    <w:p w14:paraId="58D30A53">
      <w:pPr>
        <w:jc w:val="both"/>
        <w:rPr>
          <w:lang w:val="hr-HR"/>
        </w:rPr>
      </w:pPr>
    </w:p>
    <w:p w14:paraId="58D2EC82">
      <w:pPr>
        <w:ind w:left="709"/>
        <w:jc w:val="both"/>
        <w:rPr>
          <w:lang w:val="hr-HR"/>
        </w:rPr>
      </w:pPr>
      <w:r>
        <w:rPr>
          <w:lang w:val="hr-HR"/>
        </w:rPr>
        <w:t>3.3. UKUPNI PRIHODI/PRIMICI I RASHODI/IZDACI – VIŠAK/MANJAK</w:t>
      </w:r>
    </w:p>
    <w:p w14:paraId="122BCDEB">
      <w:pPr>
        <w:ind w:left="709"/>
        <w:jc w:val="both"/>
        <w:rPr>
          <w:lang w:val="hr-HR"/>
        </w:rPr>
      </w:pPr>
    </w:p>
    <w:p w14:paraId="40A27675">
      <w:pPr>
        <w:ind w:firstLine="720"/>
        <w:jc w:val="both"/>
        <w:rPr>
          <w:lang w:val="hr-HR"/>
        </w:rPr>
      </w:pPr>
      <w:r>
        <w:rPr>
          <w:lang w:val="hr-HR"/>
        </w:rPr>
        <w:t>U izvještajnom razdoblju prema realizaciji Financijskog plana, ukupni prihodi i primici Dječjeg vrtića Požega ostvareni su u iznosu 1.795.146,85 EUR, a ukupni rashodi i izdaci su realizirani u iznosu 1.799.860,39 EUR. Iz navedenog proizlazi tekući manjak sredstava u iznosu od 4.713,54 EUR.</w:t>
      </w:r>
    </w:p>
    <w:p w14:paraId="3DE96E42">
      <w:pPr>
        <w:ind w:firstLine="720"/>
        <w:jc w:val="both"/>
        <w:rPr>
          <w:lang w:val="hr-HR"/>
        </w:rPr>
      </w:pPr>
    </w:p>
    <w:p w14:paraId="32FC97AE">
      <w:pPr>
        <w:ind w:firstLine="720"/>
        <w:jc w:val="both"/>
        <w:rPr>
          <w:lang w:val="hr-HR"/>
        </w:rPr>
      </w:pPr>
      <w:r>
        <w:rPr>
          <w:lang w:val="hr-HR"/>
        </w:rPr>
        <w:t>Iskazani rezultat ovog izvještajnog razdoblja proizlazi iz naplaćenih prihoda i primitaka i primljenih i evidentiranih računa Dječjeg vrtića Požega.</w:t>
      </w:r>
    </w:p>
    <w:p w14:paraId="79891B22">
      <w:pPr>
        <w:ind w:firstLine="720"/>
        <w:jc w:val="both"/>
        <w:rPr>
          <w:lang w:val="hr-HR"/>
        </w:rPr>
      </w:pPr>
    </w:p>
    <w:p w14:paraId="67BDCFF0">
      <w:pPr>
        <w:rPr>
          <w:lang w:val="hr-HR"/>
        </w:rPr>
      </w:pPr>
    </w:p>
    <w:p w14:paraId="45C83CA6">
      <w:pPr>
        <w:rPr>
          <w:lang w:val="hr-HR"/>
        </w:rPr>
      </w:pPr>
      <w:r>
        <w:rPr>
          <w:lang w:val="hr-HR"/>
        </w:rPr>
        <w:t>4. IZVJEŠTAJ O ZADUŽIVANJU NA DOMAĆEM I STRANOM TRŽIŠTU NOVCA I KAPITALA</w:t>
      </w:r>
    </w:p>
    <w:p w14:paraId="4F19EAEB">
      <w:pPr>
        <w:ind w:firstLine="357"/>
        <w:jc w:val="both"/>
        <w:rPr>
          <w:color w:val="FF0000"/>
          <w:lang w:val="hr-HR"/>
        </w:rPr>
      </w:pPr>
    </w:p>
    <w:p w14:paraId="4976ED04">
      <w:pPr>
        <w:ind w:firstLine="720"/>
        <w:jc w:val="both"/>
        <w:rPr>
          <w:lang w:val="hr-HR"/>
        </w:rPr>
      </w:pPr>
      <w:r>
        <w:rPr>
          <w:lang w:val="hr-HR"/>
        </w:rPr>
        <w:t>Dječji vrtić Požega nije se zaduživao na domaćem i stranom tržištu novca i kapitala u izvještajnom razdoblju.</w:t>
      </w:r>
    </w:p>
    <w:p w14:paraId="1C6850C1">
      <w:pPr>
        <w:ind w:firstLine="720"/>
        <w:jc w:val="both"/>
        <w:rPr>
          <w:color w:val="FF0000"/>
          <w:lang w:val="hr-HR"/>
        </w:rPr>
      </w:pPr>
    </w:p>
    <w:p w14:paraId="6E8E9DDC">
      <w:pPr>
        <w:jc w:val="both"/>
        <w:rPr>
          <w:lang w:val="hr-HR"/>
        </w:rPr>
      </w:pPr>
    </w:p>
    <w:p w14:paraId="140C6D81">
      <w:pPr>
        <w:jc w:val="both"/>
        <w:rPr>
          <w:lang w:val="hr-HR"/>
        </w:rPr>
      </w:pPr>
      <w:r>
        <w:rPr>
          <w:lang w:val="hr-HR"/>
        </w:rPr>
        <w:t>5.  IZVJEŠTAJ O KORIŠTENJU FONDOVA EUROPSKE UNIJE</w:t>
      </w:r>
    </w:p>
    <w:p w14:paraId="7C74D151">
      <w:pPr>
        <w:jc w:val="both"/>
        <w:rPr>
          <w:lang w:val="hr-HR"/>
        </w:rPr>
      </w:pPr>
    </w:p>
    <w:p w14:paraId="0537447C">
      <w:pPr>
        <w:ind w:firstLine="720"/>
        <w:jc w:val="both"/>
        <w:rPr>
          <w:lang w:val="hr-HR"/>
        </w:rPr>
      </w:pPr>
      <w:r>
        <w:rPr>
          <w:lang w:val="hr-HR"/>
        </w:rPr>
        <w:t xml:space="preserve">U 2024. godini Dječji vrtić Požega nije koristio fondove Europske Unije. </w:t>
      </w:r>
    </w:p>
    <w:p w14:paraId="6048915D">
      <w:pPr>
        <w:jc w:val="both"/>
        <w:rPr>
          <w:lang w:val="hr-HR"/>
        </w:rPr>
      </w:pPr>
    </w:p>
    <w:p w14:paraId="6E6DB0EF">
      <w:pPr>
        <w:jc w:val="both"/>
        <w:rPr>
          <w:lang w:val="hr-HR"/>
        </w:rPr>
      </w:pPr>
    </w:p>
    <w:p w14:paraId="6E8969FC">
      <w:pPr>
        <w:jc w:val="both"/>
        <w:rPr>
          <w:lang w:val="hr-HR"/>
        </w:rPr>
      </w:pPr>
      <w:r>
        <w:rPr>
          <w:lang w:val="hr-HR"/>
        </w:rPr>
        <w:t xml:space="preserve">6.  IZVJEŠTAJ O DANIM ZAJMOVIMA I POTRAŽIVANJIMA PO DANIM ZAJMOVIMA </w:t>
      </w:r>
    </w:p>
    <w:p w14:paraId="5AB54E5A">
      <w:pPr>
        <w:jc w:val="both"/>
        <w:rPr>
          <w:lang w:val="hr-HR"/>
        </w:rPr>
      </w:pPr>
    </w:p>
    <w:p w14:paraId="61C4BF23">
      <w:pPr>
        <w:ind w:firstLine="720" w:firstLineChars="0"/>
        <w:jc w:val="both"/>
        <w:rPr>
          <w:lang w:val="hr-HR"/>
        </w:rPr>
      </w:pPr>
      <w:r>
        <w:rPr>
          <w:lang w:val="hr-HR"/>
        </w:rPr>
        <w:t>Dječji vrtić  Požega u izvještajnom periodu nema danih zajmova kao niti potraživanja za iste.</w:t>
      </w:r>
    </w:p>
    <w:p w14:paraId="6BF866CC">
      <w:pPr>
        <w:jc w:val="both"/>
        <w:rPr>
          <w:lang w:val="hr-HR"/>
        </w:rPr>
      </w:pPr>
    </w:p>
    <w:p w14:paraId="682DF946">
      <w:pPr>
        <w:jc w:val="both"/>
        <w:rPr>
          <w:lang w:val="hr-HR"/>
        </w:rPr>
      </w:pPr>
    </w:p>
    <w:p w14:paraId="255FDFE2">
      <w:pPr>
        <w:jc w:val="both"/>
        <w:rPr>
          <w:lang w:val="hr-HR"/>
        </w:rPr>
      </w:pPr>
      <w:r>
        <w:rPr>
          <w:lang w:val="hr-HR"/>
        </w:rPr>
        <w:t>7. IZVJEŠTAJ O STANJU POTRAŽIVANJA I DOSPJELIH OBVEZA TE O STANJU POTENCIJALNIH OBVEZA PO OSNOVI SUDSKIH SPOROVA</w:t>
      </w:r>
    </w:p>
    <w:p w14:paraId="15D343E0">
      <w:pPr>
        <w:jc w:val="both"/>
        <w:rPr>
          <w:color w:val="FF0000"/>
          <w:lang w:val="hr-HR"/>
        </w:rPr>
      </w:pPr>
    </w:p>
    <w:p w14:paraId="1B3BCE03">
      <w:pPr>
        <w:ind w:firstLine="720" w:firstLineChars="0"/>
        <w:jc w:val="both"/>
        <w:rPr>
          <w:lang w:val="hr-HR"/>
        </w:rPr>
      </w:pPr>
      <w:r>
        <w:rPr>
          <w:lang w:val="hr-HR"/>
        </w:rPr>
        <w:t>Nenaplaćena potraživanja Dječjeg vrtića Požega na 31.12.2024. godine iznose ukupno 13.814,45 EUR.</w:t>
      </w:r>
    </w:p>
    <w:p w14:paraId="315EAC89">
      <w:pPr>
        <w:jc w:val="both"/>
        <w:rPr>
          <w:lang w:val="hr-HR"/>
        </w:rPr>
      </w:pPr>
    </w:p>
    <w:tbl>
      <w:tblPr>
        <w:tblStyle w:val="10"/>
        <w:tblW w:w="87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4251"/>
        <w:gridCol w:w="4469"/>
      </w:tblGrid>
      <w:tr w14:paraId="5E3E1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253" w:type="dxa"/>
            <w:gridSpan w:val="2"/>
            <w:vAlign w:val="center"/>
          </w:tcPr>
          <w:p w14:paraId="6E49B7FB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NAZIV</w:t>
            </w:r>
          </w:p>
        </w:tc>
        <w:tc>
          <w:tcPr>
            <w:tcW w:w="4472" w:type="dxa"/>
            <w:vAlign w:val="center"/>
          </w:tcPr>
          <w:p w14:paraId="2B539D58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Stanje nenaplaćenih potraživanja na 31.12.2024.</w:t>
            </w:r>
          </w:p>
        </w:tc>
      </w:tr>
      <w:tr w14:paraId="19781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284" w:hRule="atLeast"/>
          <w:jc w:val="center"/>
        </w:trPr>
        <w:tc>
          <w:tcPr>
            <w:tcW w:w="4253" w:type="dxa"/>
            <w:vAlign w:val="center"/>
          </w:tcPr>
          <w:p w14:paraId="64CFF7D5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Potraživanja za upravne i administrativne pristojbe, pristojbe po posebnim propisima i naknade</w:t>
            </w:r>
          </w:p>
        </w:tc>
        <w:tc>
          <w:tcPr>
            <w:tcW w:w="4472" w:type="dxa"/>
            <w:vAlign w:val="center"/>
          </w:tcPr>
          <w:p w14:paraId="7CD0AA8C">
            <w:pPr>
              <w:jc w:val="right"/>
              <w:rPr>
                <w:rFonts w:hint="default"/>
                <w:sz w:val="20"/>
                <w:szCs w:val="20"/>
                <w:lang w:val="hr-HR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22</w:t>
            </w:r>
            <w:r>
              <w:rPr>
                <w:sz w:val="20"/>
                <w:szCs w:val="20"/>
                <w:lang w:val="hr-HR"/>
              </w:rPr>
              <w:t>.</w:t>
            </w:r>
            <w:r>
              <w:rPr>
                <w:rFonts w:hint="default"/>
                <w:sz w:val="20"/>
                <w:szCs w:val="20"/>
                <w:lang w:val="hr-HR"/>
              </w:rPr>
              <w:t>092</w:t>
            </w:r>
            <w:r>
              <w:rPr>
                <w:sz w:val="20"/>
                <w:szCs w:val="20"/>
                <w:lang w:val="hr-HR"/>
              </w:rPr>
              <w:t>,</w:t>
            </w:r>
            <w:r>
              <w:rPr>
                <w:rFonts w:hint="default"/>
                <w:sz w:val="20"/>
                <w:szCs w:val="20"/>
                <w:lang w:val="hr-HR"/>
              </w:rPr>
              <w:t>78</w:t>
            </w:r>
          </w:p>
        </w:tc>
      </w:tr>
      <w:tr w14:paraId="20F89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284" w:hRule="atLeast"/>
          <w:jc w:val="center"/>
        </w:trPr>
        <w:tc>
          <w:tcPr>
            <w:tcW w:w="4253" w:type="dxa"/>
            <w:vAlign w:val="center"/>
          </w:tcPr>
          <w:p w14:paraId="7F9AE13D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Potraživanja proračunskih korisnika za sredstva uplaćena u nadležni proračun i za prihode HZZO-a na temelju ugovornih obveza</w:t>
            </w:r>
          </w:p>
        </w:tc>
        <w:tc>
          <w:tcPr>
            <w:tcW w:w="4472" w:type="dxa"/>
            <w:vAlign w:val="center"/>
          </w:tcPr>
          <w:p w14:paraId="2ACD46E2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5.235,90</w:t>
            </w:r>
          </w:p>
        </w:tc>
      </w:tr>
      <w:tr w14:paraId="4684D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284" w:hRule="atLeast"/>
          <w:jc w:val="center"/>
        </w:trPr>
        <w:tc>
          <w:tcPr>
            <w:tcW w:w="4253" w:type="dxa"/>
            <w:vAlign w:val="center"/>
          </w:tcPr>
          <w:p w14:paraId="43915EDF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Potraživanja za kazne i upravne mjere te ostale prihode</w:t>
            </w:r>
          </w:p>
        </w:tc>
        <w:tc>
          <w:tcPr>
            <w:tcW w:w="4472" w:type="dxa"/>
            <w:vAlign w:val="center"/>
          </w:tcPr>
          <w:p w14:paraId="75B1721E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1.604,93</w:t>
            </w:r>
          </w:p>
        </w:tc>
      </w:tr>
      <w:tr w14:paraId="40A5A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284" w:hRule="atLeast"/>
          <w:jc w:val="center"/>
        </w:trPr>
        <w:tc>
          <w:tcPr>
            <w:tcW w:w="4253" w:type="dxa"/>
            <w:vAlign w:val="center"/>
          </w:tcPr>
          <w:p w14:paraId="6D9B3CBC">
            <w:pPr>
              <w:jc w:val="both"/>
              <w:rPr>
                <w:rFonts w:hint="default"/>
                <w:sz w:val="20"/>
                <w:szCs w:val="20"/>
                <w:lang w:val="hr-HR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 xml:space="preserve">Ispravak vrijednosti potraživanja </w:t>
            </w:r>
          </w:p>
        </w:tc>
        <w:tc>
          <w:tcPr>
            <w:tcW w:w="4472" w:type="dxa"/>
            <w:vAlign w:val="center"/>
          </w:tcPr>
          <w:p w14:paraId="4F934681">
            <w:pPr>
              <w:jc w:val="right"/>
              <w:rPr>
                <w:rFonts w:hint="default"/>
                <w:sz w:val="20"/>
                <w:szCs w:val="20"/>
                <w:lang w:val="hr-HR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15.119,16</w:t>
            </w:r>
          </w:p>
        </w:tc>
      </w:tr>
      <w:tr w14:paraId="70D95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284" w:hRule="atLeast"/>
          <w:jc w:val="center"/>
        </w:trPr>
        <w:tc>
          <w:tcPr>
            <w:tcW w:w="4253" w:type="dxa"/>
            <w:vAlign w:val="center"/>
          </w:tcPr>
          <w:p w14:paraId="13C232B6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UKUPNO:</w:t>
            </w:r>
          </w:p>
        </w:tc>
        <w:tc>
          <w:tcPr>
            <w:tcW w:w="4472" w:type="dxa"/>
            <w:vAlign w:val="center"/>
          </w:tcPr>
          <w:p w14:paraId="3F4175D2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13.814,45</w:t>
            </w:r>
          </w:p>
        </w:tc>
      </w:tr>
    </w:tbl>
    <w:p w14:paraId="69C26288">
      <w:pPr>
        <w:jc w:val="both"/>
        <w:rPr>
          <w:rFonts w:hint="default"/>
          <w:lang w:val="hr-HR"/>
        </w:rPr>
      </w:pPr>
      <w:r>
        <w:rPr>
          <w:rFonts w:hint="default"/>
          <w:lang w:val="hr-HR"/>
        </w:rPr>
        <w:tab/>
      </w:r>
    </w:p>
    <w:p w14:paraId="2686C52F">
      <w:pPr>
        <w:ind w:firstLine="720" w:firstLineChars="0"/>
        <w:jc w:val="both"/>
        <w:rPr>
          <w:rFonts w:hint="default"/>
          <w:lang w:val="hr-HR"/>
        </w:rPr>
      </w:pPr>
      <w:r>
        <w:rPr>
          <w:rFonts w:hint="default"/>
          <w:lang w:val="hr-HR"/>
        </w:rPr>
        <w:t>Potraživanja se odnose na račune koji nisu naplaćeni roditeljima za usluge skrbi o djeci. Ispravak vrijednosti potraživanja je proveden sukladno Pravilniku o proračunskom računovodstvu kojim je propisana obveza ispravka vrijednosti potraživanja (onih od 1 do 3 godine 50% te onih starijih od 3 godine 100%). Ukupan iznos potraživanja iznosi 15.119,16 EUR.</w:t>
      </w:r>
    </w:p>
    <w:p w14:paraId="22994EBA">
      <w:pPr>
        <w:jc w:val="both"/>
        <w:rPr>
          <w:lang w:val="hr-HR"/>
        </w:rPr>
      </w:pPr>
    </w:p>
    <w:p w14:paraId="178A5976">
      <w:pPr>
        <w:ind w:firstLine="720" w:firstLineChars="0"/>
        <w:jc w:val="both"/>
        <w:rPr>
          <w:lang w:val="hr-HR"/>
        </w:rPr>
      </w:pPr>
      <w:r>
        <w:rPr>
          <w:lang w:val="hr-HR"/>
        </w:rPr>
        <w:t>Nedospjele obveze Dječjeg vrtića Požega na dan 31.12.2024. godine iznose ukupno 161.646,45 EUR</w:t>
      </w:r>
      <w:r>
        <w:rPr>
          <w:rFonts w:hint="default"/>
          <w:lang w:val="hr-HR"/>
        </w:rPr>
        <w:t>,</w:t>
      </w:r>
      <w:r>
        <w:rPr>
          <w:lang w:val="hr-HR"/>
        </w:rPr>
        <w:t xml:space="preserve"> </w:t>
      </w:r>
      <w:r>
        <w:rPr>
          <w:rFonts w:hint="default"/>
          <w:lang w:val="hr-HR"/>
        </w:rPr>
        <w:t>a</w:t>
      </w:r>
      <w:r>
        <w:rPr>
          <w:lang w:val="hr-HR"/>
        </w:rPr>
        <w:t xml:space="preserve"> sastoje se od plaće za prosinac 2024. godine, neplaćeni</w:t>
      </w:r>
      <w:r>
        <w:rPr>
          <w:rFonts w:hint="default"/>
          <w:lang w:val="hr-HR"/>
        </w:rPr>
        <w:t>h</w:t>
      </w:r>
      <w:r>
        <w:rPr>
          <w:lang w:val="hr-HR"/>
        </w:rPr>
        <w:t xml:space="preserve"> ulazni</w:t>
      </w:r>
      <w:r>
        <w:rPr>
          <w:rFonts w:hint="default"/>
          <w:lang w:val="hr-HR"/>
        </w:rPr>
        <w:t>h</w:t>
      </w:r>
      <w:r>
        <w:rPr>
          <w:lang w:val="hr-HR"/>
        </w:rPr>
        <w:t xml:space="preserve"> račun</w:t>
      </w:r>
      <w:r>
        <w:rPr>
          <w:rFonts w:hint="default"/>
          <w:lang w:val="hr-HR"/>
        </w:rPr>
        <w:t>a</w:t>
      </w:r>
      <w:r>
        <w:rPr>
          <w:lang w:val="hr-HR"/>
        </w:rPr>
        <w:t xml:space="preserve"> te međusobn</w:t>
      </w:r>
      <w:r>
        <w:rPr>
          <w:rFonts w:hint="default"/>
          <w:lang w:val="hr-HR"/>
        </w:rPr>
        <w:t xml:space="preserve">ih </w:t>
      </w:r>
      <w:r>
        <w:rPr>
          <w:lang w:val="hr-HR"/>
        </w:rPr>
        <w:t>obvez</w:t>
      </w:r>
      <w:r>
        <w:rPr>
          <w:rFonts w:hint="default"/>
          <w:lang w:val="hr-HR"/>
        </w:rPr>
        <w:t>a</w:t>
      </w:r>
      <w:r>
        <w:rPr>
          <w:lang w:val="hr-HR"/>
        </w:rPr>
        <w:t xml:space="preserve"> subjek</w:t>
      </w:r>
      <w:r>
        <w:rPr>
          <w:rFonts w:hint="default"/>
          <w:lang w:val="hr-HR"/>
        </w:rPr>
        <w:t>a</w:t>
      </w:r>
      <w:r>
        <w:rPr>
          <w:lang w:val="hr-HR"/>
        </w:rPr>
        <w:t>ta općeg proračuna (nevraćeni povrati po konačnom obračunu poraza, potraživanje doprinosa i poreza za ispravak plaće i potraživanje za bolovanje na teret HZZO-a</w:t>
      </w:r>
      <w:r>
        <w:rPr>
          <w:rFonts w:hint="default"/>
          <w:lang w:val="hr-HR"/>
        </w:rPr>
        <w:t>)</w:t>
      </w:r>
      <w:r>
        <w:rPr>
          <w:lang w:val="hr-HR"/>
        </w:rPr>
        <w:t xml:space="preserve">.   </w:t>
      </w:r>
    </w:p>
    <w:p w14:paraId="59DC116A">
      <w:pPr>
        <w:jc w:val="both"/>
        <w:rPr>
          <w:lang w:val="hr-HR"/>
        </w:rPr>
      </w:pPr>
    </w:p>
    <w:tbl>
      <w:tblPr>
        <w:tblStyle w:val="10"/>
        <w:tblW w:w="906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6"/>
        <w:gridCol w:w="2266"/>
      </w:tblGrid>
      <w:tr w14:paraId="2D455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633D4CB5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OBVEZE</w:t>
            </w:r>
          </w:p>
        </w:tc>
        <w:tc>
          <w:tcPr>
            <w:tcW w:w="2265" w:type="dxa"/>
          </w:tcPr>
          <w:p w14:paraId="44C672A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DOSPJELE</w:t>
            </w:r>
          </w:p>
        </w:tc>
        <w:tc>
          <w:tcPr>
            <w:tcW w:w="2266" w:type="dxa"/>
          </w:tcPr>
          <w:p w14:paraId="1F4E19EF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NEDOSPJELE</w:t>
            </w:r>
          </w:p>
        </w:tc>
        <w:tc>
          <w:tcPr>
            <w:tcW w:w="2266" w:type="dxa"/>
          </w:tcPr>
          <w:p w14:paraId="62BBFE9A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UKUPNO</w:t>
            </w:r>
          </w:p>
        </w:tc>
      </w:tr>
      <w:tr w14:paraId="4B9BE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5284131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Međusobne obveze subjekta općeg proračuna </w:t>
            </w:r>
          </w:p>
        </w:tc>
        <w:tc>
          <w:tcPr>
            <w:tcW w:w="2265" w:type="dxa"/>
            <w:vAlign w:val="center"/>
          </w:tcPr>
          <w:p w14:paraId="5C579D23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266" w:type="dxa"/>
            <w:vAlign w:val="center"/>
          </w:tcPr>
          <w:p w14:paraId="337A9D4B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1.775,78</w:t>
            </w:r>
          </w:p>
        </w:tc>
        <w:tc>
          <w:tcPr>
            <w:tcW w:w="2266" w:type="dxa"/>
            <w:vAlign w:val="center"/>
          </w:tcPr>
          <w:p w14:paraId="272F320B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1.775,78</w:t>
            </w:r>
          </w:p>
        </w:tc>
      </w:tr>
      <w:tr w14:paraId="43754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270A4CF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Obveze za rashode poslovanja</w:t>
            </w:r>
          </w:p>
        </w:tc>
        <w:tc>
          <w:tcPr>
            <w:tcW w:w="2265" w:type="dxa"/>
            <w:vAlign w:val="center"/>
          </w:tcPr>
          <w:p w14:paraId="5F32E892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266" w:type="dxa"/>
            <w:vAlign w:val="center"/>
          </w:tcPr>
          <w:p w14:paraId="4F6B45ED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159.171.14</w:t>
            </w:r>
          </w:p>
        </w:tc>
        <w:tc>
          <w:tcPr>
            <w:tcW w:w="2266" w:type="dxa"/>
            <w:vAlign w:val="center"/>
          </w:tcPr>
          <w:p w14:paraId="52198BA4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159.171,14</w:t>
            </w:r>
          </w:p>
        </w:tc>
      </w:tr>
      <w:tr w14:paraId="6F702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423126F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Obveze za nefinancijsku imovinu</w:t>
            </w:r>
          </w:p>
        </w:tc>
        <w:tc>
          <w:tcPr>
            <w:tcW w:w="2265" w:type="dxa"/>
            <w:vAlign w:val="center"/>
          </w:tcPr>
          <w:p w14:paraId="57BC4969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266" w:type="dxa"/>
            <w:vAlign w:val="center"/>
          </w:tcPr>
          <w:p w14:paraId="1A16B094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699,53</w:t>
            </w:r>
          </w:p>
        </w:tc>
        <w:tc>
          <w:tcPr>
            <w:tcW w:w="2266" w:type="dxa"/>
            <w:vAlign w:val="center"/>
          </w:tcPr>
          <w:p w14:paraId="044609A2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699,53</w:t>
            </w:r>
          </w:p>
        </w:tc>
      </w:tr>
      <w:tr w14:paraId="74B2E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EB8ACCB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UKUPNO</w:t>
            </w:r>
          </w:p>
        </w:tc>
        <w:tc>
          <w:tcPr>
            <w:tcW w:w="2265" w:type="dxa"/>
            <w:vAlign w:val="center"/>
          </w:tcPr>
          <w:p w14:paraId="5514A53B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266" w:type="dxa"/>
            <w:vAlign w:val="center"/>
          </w:tcPr>
          <w:p w14:paraId="1711BA2A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161.646,45</w:t>
            </w:r>
          </w:p>
        </w:tc>
        <w:tc>
          <w:tcPr>
            <w:tcW w:w="2266" w:type="dxa"/>
            <w:vAlign w:val="center"/>
          </w:tcPr>
          <w:p w14:paraId="5061A0D9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161.646,45</w:t>
            </w:r>
          </w:p>
        </w:tc>
      </w:tr>
    </w:tbl>
    <w:p w14:paraId="1337CA5D">
      <w:pPr>
        <w:jc w:val="both"/>
        <w:rPr>
          <w:lang w:val="hr-HR"/>
        </w:rPr>
      </w:pPr>
    </w:p>
    <w:p w14:paraId="7D962C27">
      <w:pPr>
        <w:ind w:firstLine="720" w:firstLineChars="0"/>
        <w:jc w:val="both"/>
      </w:pPr>
      <w:r>
        <w:rPr>
          <w:lang w:val="hr-HR"/>
        </w:rPr>
        <w:t>Dječji vrtić  Požega nema potencijalnih obveza po osnovi sudskih sporova</w:t>
      </w:r>
      <w:r>
        <w:t>.</w:t>
      </w:r>
    </w:p>
    <w:sectPr>
      <w:footerReference r:id="rId3" w:type="default"/>
      <w:pgSz w:w="11906" w:h="16838"/>
      <w:pgMar w:top="709" w:right="1417" w:bottom="1417" w:left="1417" w:header="720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Calibr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11ED6">
    <w:pPr>
      <w:tabs>
        <w:tab w:val="center" w:pos="4536"/>
        <w:tab w:val="right" w:pos="9072"/>
      </w:tabs>
    </w:pPr>
    <w:r>
      <w:rPr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-889000</wp:posOffset>
          </wp:positionH>
          <wp:positionV relativeFrom="paragraph">
            <wp:posOffset>0</wp:posOffset>
          </wp:positionV>
          <wp:extent cx="7543165" cy="1905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16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31195"/>
    <w:multiLevelType w:val="multilevel"/>
    <w:tmpl w:val="00031195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/>
        <w:sz w:val="22"/>
        <w:szCs w:val="22"/>
      </w:rPr>
    </w:lvl>
    <w:lvl w:ilvl="1" w:tentative="0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eastAsia="Times New Roman"/>
        <w:sz w:val="22"/>
        <w:szCs w:val="22"/>
      </w:rPr>
    </w:lvl>
    <w:lvl w:ilvl="2" w:tentative="0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eastAsia="Times New Roman"/>
        <w:sz w:val="22"/>
        <w:szCs w:val="22"/>
      </w:rPr>
    </w:lvl>
    <w:lvl w:ilvl="3" w:tentative="0">
      <w:start w:val="1"/>
      <w:numFmt w:val="decimal"/>
      <w:lvlText w:val="%1.%2.%3.%4."/>
      <w:lvlJc w:val="left"/>
      <w:pPr>
        <w:ind w:left="1080" w:hanging="720"/>
      </w:pPr>
      <w:rPr>
        <w:rFonts w:ascii="Times New Roman" w:hAnsi="Times New Roman" w:eastAsia="Times New Roman"/>
        <w:sz w:val="22"/>
        <w:szCs w:val="22"/>
      </w:rPr>
    </w:lvl>
    <w:lvl w:ilvl="4" w:tentative="0">
      <w:start w:val="1"/>
      <w:numFmt w:val="decimal"/>
      <w:lvlText w:val="%1.%2.%3.%4.%5."/>
      <w:lvlJc w:val="left"/>
      <w:pPr>
        <w:ind w:left="1440" w:hanging="1080"/>
      </w:pPr>
      <w:rPr>
        <w:rFonts w:ascii="Times New Roman" w:hAnsi="Times New Roman" w:eastAsia="Times New Roman"/>
        <w:sz w:val="22"/>
        <w:szCs w:val="22"/>
      </w:rPr>
    </w:lvl>
    <w:lvl w:ilvl="5" w:tentative="0">
      <w:start w:val="1"/>
      <w:numFmt w:val="decimal"/>
      <w:lvlText w:val="%1.%2.%3.%4.%5.%6."/>
      <w:lvlJc w:val="left"/>
      <w:pPr>
        <w:ind w:left="1440" w:hanging="1080"/>
      </w:pPr>
      <w:rPr>
        <w:rFonts w:ascii="Times New Roman" w:hAnsi="Times New Roman" w:eastAsia="Times New Roman"/>
        <w:sz w:val="22"/>
        <w:szCs w:val="22"/>
      </w:rPr>
    </w:lvl>
    <w:lvl w:ilvl="6" w:tentative="0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hAnsi="Times New Roman" w:eastAsia="Times New Roman"/>
        <w:sz w:val="22"/>
        <w:szCs w:val="22"/>
      </w:rPr>
    </w:lvl>
    <w:lvl w:ilvl="7" w:tentative="0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hAnsi="Times New Roman" w:eastAsia="Times New Roman"/>
        <w:sz w:val="22"/>
        <w:szCs w:val="22"/>
      </w:rPr>
    </w:lvl>
    <w:lvl w:ilvl="8" w:tentative="0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hAnsi="Times New Roman" w:eastAsia="Times New Roman"/>
        <w:sz w:val="22"/>
        <w:szCs w:val="22"/>
      </w:rPr>
    </w:lvl>
  </w:abstractNum>
  <w:abstractNum w:abstractNumId="1">
    <w:nsid w:val="2CDB7896"/>
    <w:multiLevelType w:val="multilevel"/>
    <w:tmpl w:val="2CDB7896"/>
    <w:lvl w:ilvl="0" w:tentative="0">
      <w:start w:val="4"/>
      <w:numFmt w:val="bullet"/>
      <w:pStyle w:val="2"/>
      <w:lvlText w:val="-"/>
      <w:lvlJc w:val="left"/>
      <w:pPr>
        <w:ind w:left="1080" w:hanging="360"/>
      </w:pPr>
      <w:rPr>
        <w:rFonts w:ascii="Times New Roman" w:hAnsi="Times New Roman" w:eastAsia="Times New Roman"/>
      </w:rPr>
    </w:lvl>
    <w:lvl w:ilvl="1" w:tentative="0">
      <w:start w:val="1"/>
      <w:numFmt w:val="bullet"/>
      <w:pStyle w:val="3"/>
      <w:lvlText w:val="o"/>
      <w:lvlJc w:val="left"/>
      <w:pPr>
        <w:ind w:left="1800" w:hanging="360"/>
      </w:pPr>
      <w:rPr>
        <w:rFonts w:ascii="Courier New" w:hAnsi="Courier New" w:eastAsia="Times New Roman"/>
      </w:rPr>
    </w:lvl>
    <w:lvl w:ilvl="2" w:tentative="0">
      <w:start w:val="1"/>
      <w:numFmt w:val="bullet"/>
      <w:pStyle w:val="4"/>
      <w:lvlText w:val="▪"/>
      <w:lvlJc w:val="left"/>
      <w:pPr>
        <w:ind w:left="2520" w:hanging="360"/>
      </w:pPr>
      <w:rPr>
        <w:rFonts w:ascii="Noto Sans Symbols" w:hAnsi="Noto Sans Symbols" w:eastAsia="Times New Roman"/>
      </w:rPr>
    </w:lvl>
    <w:lvl w:ilvl="3" w:tentative="0">
      <w:start w:val="1"/>
      <w:numFmt w:val="bullet"/>
      <w:pStyle w:val="5"/>
      <w:lvlText w:val="●"/>
      <w:lvlJc w:val="left"/>
      <w:pPr>
        <w:ind w:left="3240" w:hanging="360"/>
      </w:pPr>
      <w:rPr>
        <w:rFonts w:ascii="Noto Sans Symbols" w:hAnsi="Noto Sans Symbols" w:eastAsia="Times New Roman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Times New Roman"/>
      </w:rPr>
    </w:lvl>
    <w:lvl w:ilvl="5" w:tentative="0">
      <w:start w:val="1"/>
      <w:numFmt w:val="bullet"/>
      <w:pStyle w:val="8"/>
      <w:lvlText w:val="▪"/>
      <w:lvlJc w:val="left"/>
      <w:pPr>
        <w:ind w:left="4680" w:hanging="360"/>
      </w:pPr>
      <w:rPr>
        <w:rFonts w:ascii="Noto Sans Symbols" w:hAnsi="Noto Sans Symbols" w:eastAsia="Times New Roman"/>
      </w:rPr>
    </w:lvl>
    <w:lvl w:ilvl="6" w:tentative="0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Times New Roman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Times New Roman"/>
      </w:rPr>
    </w:lvl>
    <w:lvl w:ilvl="8" w:tentative="0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Times New Roman"/>
      </w:rPr>
    </w:lvl>
  </w:abstractNum>
  <w:abstractNum w:abstractNumId="2">
    <w:nsid w:val="58DC4349"/>
    <w:multiLevelType w:val="multilevel"/>
    <w:tmpl w:val="58DC4349"/>
    <w:lvl w:ilvl="0" w:tentative="0">
      <w:start w:val="2"/>
      <w:numFmt w:val="bullet"/>
      <w:lvlText w:val="-"/>
      <w:lvlJc w:val="left"/>
      <w:pPr>
        <w:ind w:left="1069" w:hanging="360"/>
      </w:pPr>
      <w:rPr>
        <w:rFonts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ascii="Courier New" w:hAnsi="Courier New" w:eastAsia="Times New Roman"/>
      </w:rPr>
    </w:lvl>
    <w:lvl w:ilvl="2" w:tentative="0">
      <w:start w:val="1"/>
      <w:numFmt w:val="bullet"/>
      <w:lvlText w:val="▪"/>
      <w:lvlJc w:val="left"/>
      <w:pPr>
        <w:ind w:left="2509" w:hanging="360"/>
      </w:pPr>
      <w:rPr>
        <w:rFonts w:ascii="Noto Sans Symbols" w:hAnsi="Noto Sans Symbols" w:eastAsia="Times New Roman"/>
      </w:rPr>
    </w:lvl>
    <w:lvl w:ilvl="3" w:tentative="0">
      <w:start w:val="1"/>
      <w:numFmt w:val="bullet"/>
      <w:lvlText w:val="●"/>
      <w:lvlJc w:val="left"/>
      <w:pPr>
        <w:ind w:left="3229" w:hanging="360"/>
      </w:pPr>
      <w:rPr>
        <w:rFonts w:ascii="Noto Sans Symbols" w:hAnsi="Noto Sans Symbols" w:eastAsia="Times New Roman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ascii="Courier New" w:hAnsi="Courier New" w:eastAsia="Times New Roman"/>
      </w:rPr>
    </w:lvl>
    <w:lvl w:ilvl="5" w:tentative="0">
      <w:start w:val="1"/>
      <w:numFmt w:val="bullet"/>
      <w:lvlText w:val="▪"/>
      <w:lvlJc w:val="left"/>
      <w:pPr>
        <w:ind w:left="4669" w:hanging="360"/>
      </w:pPr>
      <w:rPr>
        <w:rFonts w:ascii="Noto Sans Symbols" w:hAnsi="Noto Sans Symbols" w:eastAsia="Times New Roman"/>
      </w:rPr>
    </w:lvl>
    <w:lvl w:ilvl="6" w:tentative="0">
      <w:start w:val="1"/>
      <w:numFmt w:val="bullet"/>
      <w:lvlText w:val="●"/>
      <w:lvlJc w:val="left"/>
      <w:pPr>
        <w:ind w:left="5389" w:hanging="360"/>
      </w:pPr>
      <w:rPr>
        <w:rFonts w:ascii="Noto Sans Symbols" w:hAnsi="Noto Sans Symbols" w:eastAsia="Times New Roman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ascii="Courier New" w:hAnsi="Courier New" w:eastAsia="Times New Roman"/>
      </w:rPr>
    </w:lvl>
    <w:lvl w:ilvl="8" w:tentative="0">
      <w:start w:val="1"/>
      <w:numFmt w:val="bullet"/>
      <w:lvlText w:val="▪"/>
      <w:lvlJc w:val="left"/>
      <w:pPr>
        <w:ind w:left="6829" w:hanging="360"/>
      </w:pPr>
      <w:rPr>
        <w:rFonts w:ascii="Noto Sans Symbols" w:hAnsi="Noto Sans Symbols" w:eastAsia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720"/>
  <w:hyphenationZone w:val="425"/>
  <w:doNotHyphenateCaps/>
  <w:characterSpacingControl w:val="doNotCompress"/>
  <w:doNotValidateAgainstSchema/>
  <w:doNotDemarcateInvalidXml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0C"/>
    <w:rsid w:val="000022F5"/>
    <w:rsid w:val="000350C9"/>
    <w:rsid w:val="00122309"/>
    <w:rsid w:val="00183520"/>
    <w:rsid w:val="001A6504"/>
    <w:rsid w:val="001C75E9"/>
    <w:rsid w:val="002336B8"/>
    <w:rsid w:val="00256538"/>
    <w:rsid w:val="00285677"/>
    <w:rsid w:val="00320048"/>
    <w:rsid w:val="004651F4"/>
    <w:rsid w:val="004900EA"/>
    <w:rsid w:val="00525407"/>
    <w:rsid w:val="006F445D"/>
    <w:rsid w:val="00870726"/>
    <w:rsid w:val="00947151"/>
    <w:rsid w:val="009708AB"/>
    <w:rsid w:val="0098767B"/>
    <w:rsid w:val="009C6023"/>
    <w:rsid w:val="009E5434"/>
    <w:rsid w:val="00A01308"/>
    <w:rsid w:val="00A92332"/>
    <w:rsid w:val="00BE2651"/>
    <w:rsid w:val="00BF753A"/>
    <w:rsid w:val="00C07C54"/>
    <w:rsid w:val="00C45D95"/>
    <w:rsid w:val="00C7050C"/>
    <w:rsid w:val="00CA1808"/>
    <w:rsid w:val="00D93DA1"/>
    <w:rsid w:val="00DC1A93"/>
    <w:rsid w:val="00E30B1C"/>
    <w:rsid w:val="00E52CEA"/>
    <w:rsid w:val="00E855A5"/>
    <w:rsid w:val="00EB26F5"/>
    <w:rsid w:val="00F1586D"/>
    <w:rsid w:val="00F86405"/>
    <w:rsid w:val="00FB0CAB"/>
    <w:rsid w:val="00FE723D"/>
    <w:rsid w:val="01602DCC"/>
    <w:rsid w:val="40410A5A"/>
    <w:rsid w:val="45511F3F"/>
    <w:rsid w:val="636672CD"/>
    <w:rsid w:val="655808AF"/>
    <w:rsid w:val="6C14665D"/>
    <w:rsid w:val="7B9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nhideWhenUsed="0" w:uiPriority="99" w:name="annotation reference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nhideWhenUsed="0" w:uiPriority="99" w:semiHidden="0" w:name="List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color w:val="00000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9"/>
    <w:pPr>
      <w:keepNext/>
      <w:numPr>
        <w:ilvl w:val="0"/>
        <w:numId w:val="1"/>
      </w:numPr>
      <w:outlineLvl w:val="0"/>
    </w:pPr>
    <w:rPr>
      <w:b/>
      <w:bCs/>
      <w:sz w:val="32"/>
      <w:szCs w:val="32"/>
      <w:lang w:val="en-AU"/>
    </w:rPr>
  </w:style>
  <w:style w:type="paragraph" w:styleId="3">
    <w:name w:val="heading 2"/>
    <w:basedOn w:val="1"/>
    <w:next w:val="1"/>
    <w:link w:val="31"/>
    <w:qFormat/>
    <w:uiPriority w:val="99"/>
    <w:pPr>
      <w:keepNext/>
      <w:numPr>
        <w:ilvl w:val="1"/>
        <w:numId w:val="1"/>
      </w:numPr>
      <w:ind w:left="0" w:right="43" w:firstLine="0"/>
      <w:outlineLvl w:val="1"/>
    </w:pPr>
    <w:rPr>
      <w:b/>
      <w:bCs/>
      <w:sz w:val="26"/>
      <w:szCs w:val="26"/>
      <w:lang w:val="en-AU"/>
    </w:rPr>
  </w:style>
  <w:style w:type="paragraph" w:styleId="4">
    <w:name w:val="heading 3"/>
    <w:basedOn w:val="1"/>
    <w:next w:val="1"/>
    <w:link w:val="32"/>
    <w:qFormat/>
    <w:uiPriority w:val="9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link w:val="33"/>
    <w:qFormat/>
    <w:uiPriority w:val="9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7"/>
    <w:next w:val="7"/>
    <w:link w:val="34"/>
    <w:qFormat/>
    <w:uiPriority w:val="99"/>
    <w:pPr>
      <w:keepNext/>
      <w:keepLines/>
      <w:spacing w:before="220" w:after="40"/>
      <w:outlineLvl w:val="4"/>
    </w:pPr>
    <w:rPr>
      <w:b/>
      <w:bCs/>
    </w:rPr>
  </w:style>
  <w:style w:type="paragraph" w:styleId="8">
    <w:name w:val="heading 6"/>
    <w:basedOn w:val="1"/>
    <w:next w:val="1"/>
    <w:link w:val="35"/>
    <w:qFormat/>
    <w:uiPriority w:val="99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</w:rPr>
  </w:style>
  <w:style w:type="character" w:default="1" w:styleId="9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ormal"/>
    <w:uiPriority w:val="99"/>
    <w:rPr>
      <w:rFonts w:ascii="Times New Roman" w:hAnsi="Times New Roman" w:eastAsia="Times New Roman" w:cs="Times New Roman"/>
      <w:sz w:val="22"/>
      <w:szCs w:val="22"/>
      <w:lang w:val="hr-HR" w:eastAsia="hr-HR" w:bidi="ar-SA"/>
    </w:rPr>
  </w:style>
  <w:style w:type="paragraph" w:styleId="11">
    <w:name w:val="Balloon Text"/>
    <w:basedOn w:val="1"/>
    <w:link w:val="36"/>
    <w:semiHidden/>
    <w:qFormat/>
    <w:uiPriority w:val="99"/>
    <w:rPr>
      <w:rFonts w:ascii="Tahoma" w:hAnsi="Tahoma" w:cs="Tahoma"/>
      <w:sz w:val="16"/>
      <w:szCs w:val="16"/>
      <w:lang w:val="en-AU"/>
    </w:rPr>
  </w:style>
  <w:style w:type="paragraph" w:styleId="12">
    <w:name w:val="Body Text"/>
    <w:basedOn w:val="1"/>
    <w:link w:val="37"/>
    <w:uiPriority w:val="99"/>
    <w:pPr>
      <w:spacing w:after="120"/>
    </w:pPr>
  </w:style>
  <w:style w:type="paragraph" w:styleId="13">
    <w:name w:val="Body Text Indent"/>
    <w:basedOn w:val="1"/>
    <w:link w:val="38"/>
    <w:qFormat/>
    <w:uiPriority w:val="99"/>
    <w:pPr>
      <w:spacing w:after="120"/>
      <w:ind w:left="283"/>
    </w:pPr>
  </w:style>
  <w:style w:type="paragraph" w:styleId="14">
    <w:name w:val="caption"/>
    <w:basedOn w:val="1"/>
    <w:qFormat/>
    <w:uiPriority w:val="99"/>
    <w:pPr>
      <w:suppressLineNumbers/>
      <w:spacing w:before="120" w:after="120"/>
    </w:pPr>
    <w:rPr>
      <w:i/>
      <w:iCs/>
      <w:sz w:val="24"/>
      <w:szCs w:val="24"/>
    </w:rPr>
  </w:style>
  <w:style w:type="character" w:styleId="15">
    <w:name w:val="annotation reference"/>
    <w:basedOn w:val="9"/>
    <w:semiHidden/>
    <w:uiPriority w:val="99"/>
    <w:rPr>
      <w:sz w:val="16"/>
      <w:szCs w:val="16"/>
    </w:rPr>
  </w:style>
  <w:style w:type="paragraph" w:styleId="16">
    <w:name w:val="annotation text"/>
    <w:basedOn w:val="1"/>
    <w:link w:val="39"/>
    <w:semiHidden/>
    <w:qFormat/>
    <w:uiPriority w:val="99"/>
    <w:rPr>
      <w:sz w:val="20"/>
      <w:szCs w:val="20"/>
    </w:rPr>
  </w:style>
  <w:style w:type="paragraph" w:styleId="17">
    <w:name w:val="annotation subject"/>
    <w:basedOn w:val="16"/>
    <w:next w:val="16"/>
    <w:link w:val="40"/>
    <w:semiHidden/>
    <w:uiPriority w:val="99"/>
    <w:rPr>
      <w:b/>
      <w:bCs/>
    </w:rPr>
  </w:style>
  <w:style w:type="character" w:styleId="18">
    <w:name w:val="Emphasis"/>
    <w:basedOn w:val="9"/>
    <w:qFormat/>
    <w:uiPriority w:val="99"/>
    <w:rPr>
      <w:i/>
      <w:iCs/>
    </w:rPr>
  </w:style>
  <w:style w:type="character" w:styleId="19">
    <w:name w:val="FollowedHyperlink"/>
    <w:basedOn w:val="9"/>
    <w:qFormat/>
    <w:uiPriority w:val="99"/>
    <w:rPr>
      <w:color w:val="auto"/>
      <w:u w:val="single"/>
    </w:rPr>
  </w:style>
  <w:style w:type="paragraph" w:styleId="20">
    <w:name w:val="footer"/>
    <w:basedOn w:val="1"/>
    <w:link w:val="41"/>
    <w:qFormat/>
    <w:uiPriority w:val="99"/>
    <w:pPr>
      <w:tabs>
        <w:tab w:val="center" w:pos="4536"/>
        <w:tab w:val="right" w:pos="9072"/>
      </w:tabs>
    </w:pPr>
  </w:style>
  <w:style w:type="paragraph" w:styleId="21">
    <w:name w:val="header"/>
    <w:basedOn w:val="1"/>
    <w:link w:val="42"/>
    <w:qFormat/>
    <w:uiPriority w:val="99"/>
    <w:pPr>
      <w:tabs>
        <w:tab w:val="center" w:pos="4536"/>
        <w:tab w:val="right" w:pos="9072"/>
      </w:tabs>
    </w:pPr>
  </w:style>
  <w:style w:type="character" w:styleId="22">
    <w:name w:val="Hyperlink"/>
    <w:basedOn w:val="9"/>
    <w:qFormat/>
    <w:uiPriority w:val="99"/>
    <w:rPr>
      <w:color w:val="0000FF"/>
      <w:u w:val="single"/>
    </w:rPr>
  </w:style>
  <w:style w:type="paragraph" w:styleId="23">
    <w:name w:val="List"/>
    <w:basedOn w:val="12"/>
    <w:uiPriority w:val="99"/>
  </w:style>
  <w:style w:type="paragraph" w:styleId="24">
    <w:name w:val="Normal (Web)"/>
    <w:basedOn w:val="1"/>
    <w:uiPriority w:val="99"/>
    <w:pPr>
      <w:spacing w:before="280" w:after="280"/>
    </w:pPr>
    <w:rPr>
      <w:rFonts w:ascii="Arial" w:hAnsi="Arial" w:cs="Arial"/>
      <w:sz w:val="18"/>
      <w:szCs w:val="18"/>
      <w:lang w:val="hr-HR"/>
    </w:rPr>
  </w:style>
  <w:style w:type="character" w:styleId="25">
    <w:name w:val="page number"/>
    <w:basedOn w:val="9"/>
    <w:uiPriority w:val="99"/>
  </w:style>
  <w:style w:type="character" w:styleId="26">
    <w:name w:val="Strong"/>
    <w:basedOn w:val="9"/>
    <w:qFormat/>
    <w:uiPriority w:val="99"/>
    <w:rPr>
      <w:b/>
      <w:bCs/>
    </w:rPr>
  </w:style>
  <w:style w:type="paragraph" w:styleId="27">
    <w:name w:val="Subtitle"/>
    <w:basedOn w:val="1"/>
    <w:next w:val="1"/>
    <w:link w:val="43"/>
    <w:qFormat/>
    <w:uiPriority w:val="99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table" w:styleId="28">
    <w:name w:val="Table Grid"/>
    <w:basedOn w:val="10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9">
    <w:name w:val="Title"/>
    <w:basedOn w:val="7"/>
    <w:next w:val="7"/>
    <w:link w:val="44"/>
    <w:qFormat/>
    <w:uiPriority w:val="99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30">
    <w:name w:val="Heading 1 Char"/>
    <w:basedOn w:val="9"/>
    <w:link w:val="2"/>
    <w:locked/>
    <w:uiPriority w:val="99"/>
    <w:rPr>
      <w:rFonts w:ascii="Cambria" w:hAnsi="Cambria" w:eastAsia="SimSun" w:cs="Cambria"/>
      <w:b/>
      <w:bCs/>
      <w:color w:val="000000"/>
      <w:kern w:val="32"/>
      <w:sz w:val="32"/>
      <w:szCs w:val="32"/>
      <w:lang w:val="en-US" w:eastAsia="zh-CN"/>
    </w:rPr>
  </w:style>
  <w:style w:type="character" w:customStyle="1" w:styleId="31">
    <w:name w:val="Heading 2 Char"/>
    <w:basedOn w:val="9"/>
    <w:link w:val="3"/>
    <w:semiHidden/>
    <w:locked/>
    <w:uiPriority w:val="99"/>
    <w:rPr>
      <w:rFonts w:ascii="Cambria" w:hAnsi="Cambria" w:eastAsia="SimSun" w:cs="Cambria"/>
      <w:b/>
      <w:bCs/>
      <w:i/>
      <w:iCs/>
      <w:color w:val="000000"/>
      <w:sz w:val="28"/>
      <w:szCs w:val="28"/>
      <w:lang w:val="en-US" w:eastAsia="zh-CN"/>
    </w:rPr>
  </w:style>
  <w:style w:type="character" w:customStyle="1" w:styleId="32">
    <w:name w:val="Heading 3 Char"/>
    <w:basedOn w:val="9"/>
    <w:link w:val="4"/>
    <w:semiHidden/>
    <w:locked/>
    <w:uiPriority w:val="99"/>
    <w:rPr>
      <w:rFonts w:ascii="Cambria" w:hAnsi="Cambria" w:eastAsia="SimSun" w:cs="Cambria"/>
      <w:b/>
      <w:bCs/>
      <w:color w:val="000000"/>
      <w:sz w:val="26"/>
      <w:szCs w:val="26"/>
      <w:lang w:val="en-US" w:eastAsia="zh-CN"/>
    </w:rPr>
  </w:style>
  <w:style w:type="character" w:customStyle="1" w:styleId="33">
    <w:name w:val="Heading 4 Char"/>
    <w:basedOn w:val="9"/>
    <w:link w:val="5"/>
    <w:semiHidden/>
    <w:locked/>
    <w:uiPriority w:val="99"/>
    <w:rPr>
      <w:rFonts w:ascii="Calibri" w:hAnsi="Calibri" w:eastAsia="SimSun" w:cs="Calibri"/>
      <w:b/>
      <w:bCs/>
      <w:color w:val="000000"/>
      <w:sz w:val="28"/>
      <w:szCs w:val="28"/>
      <w:lang w:val="en-US" w:eastAsia="zh-CN"/>
    </w:rPr>
  </w:style>
  <w:style w:type="character" w:customStyle="1" w:styleId="34">
    <w:name w:val="Heading 5 Char"/>
    <w:basedOn w:val="9"/>
    <w:link w:val="6"/>
    <w:semiHidden/>
    <w:locked/>
    <w:uiPriority w:val="99"/>
    <w:rPr>
      <w:rFonts w:ascii="Calibri" w:hAnsi="Calibri" w:eastAsia="SimSun" w:cs="Calibri"/>
      <w:b/>
      <w:bCs/>
      <w:i/>
      <w:iCs/>
      <w:color w:val="000000"/>
      <w:sz w:val="26"/>
      <w:szCs w:val="26"/>
      <w:lang w:val="en-US" w:eastAsia="zh-CN"/>
    </w:rPr>
  </w:style>
  <w:style w:type="character" w:customStyle="1" w:styleId="35">
    <w:name w:val="Heading 6 Char"/>
    <w:basedOn w:val="9"/>
    <w:link w:val="8"/>
    <w:semiHidden/>
    <w:locked/>
    <w:uiPriority w:val="99"/>
    <w:rPr>
      <w:rFonts w:ascii="Calibri" w:hAnsi="Calibri" w:eastAsia="SimSun" w:cs="Calibri"/>
      <w:b/>
      <w:bCs/>
      <w:color w:val="000000"/>
      <w:lang w:val="en-US" w:eastAsia="zh-CN"/>
    </w:rPr>
  </w:style>
  <w:style w:type="character" w:customStyle="1" w:styleId="36">
    <w:name w:val="Balloon Text Char"/>
    <w:basedOn w:val="9"/>
    <w:link w:val="11"/>
    <w:semiHidden/>
    <w:locked/>
    <w:uiPriority w:val="99"/>
    <w:rPr>
      <w:color w:val="000000"/>
      <w:sz w:val="2"/>
      <w:szCs w:val="2"/>
      <w:lang w:val="en-US" w:eastAsia="zh-CN"/>
    </w:rPr>
  </w:style>
  <w:style w:type="character" w:customStyle="1" w:styleId="37">
    <w:name w:val="Body Text Char"/>
    <w:basedOn w:val="9"/>
    <w:link w:val="12"/>
    <w:semiHidden/>
    <w:locked/>
    <w:uiPriority w:val="99"/>
    <w:rPr>
      <w:color w:val="000000"/>
      <w:lang w:val="en-US" w:eastAsia="zh-CN"/>
    </w:rPr>
  </w:style>
  <w:style w:type="character" w:customStyle="1" w:styleId="38">
    <w:name w:val="Body Text Indent Char"/>
    <w:basedOn w:val="9"/>
    <w:link w:val="13"/>
    <w:semiHidden/>
    <w:locked/>
    <w:uiPriority w:val="99"/>
    <w:rPr>
      <w:color w:val="000000"/>
      <w:lang w:val="en-US" w:eastAsia="zh-CN"/>
    </w:rPr>
  </w:style>
  <w:style w:type="character" w:customStyle="1" w:styleId="39">
    <w:name w:val="Comment Text Char"/>
    <w:basedOn w:val="9"/>
    <w:link w:val="16"/>
    <w:semiHidden/>
    <w:qFormat/>
    <w:locked/>
    <w:uiPriority w:val="99"/>
    <w:rPr>
      <w:rFonts w:eastAsia="Times New Roman"/>
      <w:color w:val="000000"/>
      <w:lang w:val="en-US" w:eastAsia="zh-CN"/>
    </w:rPr>
  </w:style>
  <w:style w:type="character" w:customStyle="1" w:styleId="40">
    <w:name w:val="Comment Subject Char"/>
    <w:basedOn w:val="39"/>
    <w:link w:val="17"/>
    <w:semiHidden/>
    <w:locked/>
    <w:uiPriority w:val="99"/>
    <w:rPr>
      <w:b/>
      <w:bCs/>
    </w:rPr>
  </w:style>
  <w:style w:type="character" w:customStyle="1" w:styleId="41">
    <w:name w:val="Footer Char"/>
    <w:basedOn w:val="9"/>
    <w:link w:val="20"/>
    <w:semiHidden/>
    <w:locked/>
    <w:uiPriority w:val="99"/>
    <w:rPr>
      <w:color w:val="000000"/>
      <w:lang w:val="en-US" w:eastAsia="zh-CN"/>
    </w:rPr>
  </w:style>
  <w:style w:type="character" w:customStyle="1" w:styleId="42">
    <w:name w:val="Header Char"/>
    <w:basedOn w:val="9"/>
    <w:link w:val="21"/>
    <w:locked/>
    <w:uiPriority w:val="99"/>
    <w:rPr>
      <w:rFonts w:eastAsia="Times New Roman"/>
      <w:color w:val="000000"/>
      <w:sz w:val="22"/>
      <w:szCs w:val="22"/>
      <w:lang w:val="en-US" w:eastAsia="zh-CN"/>
    </w:rPr>
  </w:style>
  <w:style w:type="character" w:customStyle="1" w:styleId="43">
    <w:name w:val="Subtitle Char"/>
    <w:basedOn w:val="9"/>
    <w:link w:val="27"/>
    <w:locked/>
    <w:uiPriority w:val="99"/>
    <w:rPr>
      <w:rFonts w:ascii="Cambria" w:hAnsi="Cambria" w:eastAsia="SimSun" w:cs="Cambria"/>
      <w:color w:val="000000"/>
      <w:sz w:val="24"/>
      <w:szCs w:val="24"/>
      <w:lang w:val="en-US" w:eastAsia="zh-CN"/>
    </w:rPr>
  </w:style>
  <w:style w:type="character" w:customStyle="1" w:styleId="44">
    <w:name w:val="Title Char"/>
    <w:basedOn w:val="9"/>
    <w:link w:val="29"/>
    <w:locked/>
    <w:uiPriority w:val="99"/>
    <w:rPr>
      <w:rFonts w:ascii="Cambria" w:hAnsi="Cambria" w:eastAsia="SimSun" w:cs="Cambria"/>
      <w:b/>
      <w:bCs/>
      <w:color w:val="000000"/>
      <w:kern w:val="28"/>
      <w:sz w:val="32"/>
      <w:szCs w:val="32"/>
      <w:lang w:val="en-US" w:eastAsia="zh-CN"/>
    </w:rPr>
  </w:style>
  <w:style w:type="character" w:customStyle="1" w:styleId="45">
    <w:name w:val="WW8Num1z0"/>
    <w:uiPriority w:val="99"/>
  </w:style>
  <w:style w:type="character" w:customStyle="1" w:styleId="46">
    <w:name w:val="WW8Num1z1"/>
    <w:uiPriority w:val="99"/>
  </w:style>
  <w:style w:type="character" w:customStyle="1" w:styleId="47">
    <w:name w:val="WW8Num1z2"/>
    <w:uiPriority w:val="99"/>
  </w:style>
  <w:style w:type="character" w:customStyle="1" w:styleId="48">
    <w:name w:val="WW8Num1z3"/>
    <w:uiPriority w:val="99"/>
  </w:style>
  <w:style w:type="character" w:customStyle="1" w:styleId="49">
    <w:name w:val="WW8Num1z4"/>
    <w:uiPriority w:val="99"/>
  </w:style>
  <w:style w:type="character" w:customStyle="1" w:styleId="50">
    <w:name w:val="WW8Num1z5"/>
    <w:uiPriority w:val="99"/>
  </w:style>
  <w:style w:type="character" w:customStyle="1" w:styleId="51">
    <w:name w:val="WW8Num1z6"/>
    <w:uiPriority w:val="99"/>
  </w:style>
  <w:style w:type="character" w:customStyle="1" w:styleId="52">
    <w:name w:val="WW8Num1z7"/>
    <w:uiPriority w:val="99"/>
  </w:style>
  <w:style w:type="character" w:customStyle="1" w:styleId="53">
    <w:name w:val="WW8Num1z8"/>
    <w:uiPriority w:val="99"/>
  </w:style>
  <w:style w:type="character" w:customStyle="1" w:styleId="54">
    <w:name w:val="WW8Num2z0"/>
    <w:uiPriority w:val="99"/>
    <w:rPr>
      <w:rFonts w:ascii="Times New Roman" w:hAnsi="Times New Roman" w:cs="Times New Roman"/>
      <w:sz w:val="22"/>
      <w:szCs w:val="22"/>
      <w:lang w:val="hr-HR"/>
    </w:rPr>
  </w:style>
  <w:style w:type="character" w:customStyle="1" w:styleId="55">
    <w:name w:val="WW8Num3z0"/>
    <w:uiPriority w:val="99"/>
    <w:rPr>
      <w:rFonts w:ascii="Times New Roman" w:hAnsi="Times New Roman" w:cs="Times New Roman"/>
      <w:sz w:val="22"/>
      <w:szCs w:val="22"/>
      <w:lang w:val="hr-HR"/>
    </w:rPr>
  </w:style>
  <w:style w:type="character" w:customStyle="1" w:styleId="56">
    <w:name w:val="WW8Num3z1"/>
    <w:uiPriority w:val="99"/>
  </w:style>
  <w:style w:type="character" w:customStyle="1" w:styleId="57">
    <w:name w:val="WW8Num4z0"/>
    <w:uiPriority w:val="99"/>
    <w:rPr>
      <w:rFonts w:ascii="Symbol" w:hAnsi="Symbol" w:cs="Symbol"/>
    </w:rPr>
  </w:style>
  <w:style w:type="character" w:customStyle="1" w:styleId="58">
    <w:name w:val="WW8Num5z0"/>
    <w:uiPriority w:val="99"/>
    <w:rPr>
      <w:rFonts w:eastAsia="Times New Roman"/>
      <w:lang w:val="hr-HR"/>
    </w:rPr>
  </w:style>
  <w:style w:type="character" w:customStyle="1" w:styleId="59">
    <w:name w:val="WW8Num6z0"/>
    <w:uiPriority w:val="99"/>
  </w:style>
  <w:style w:type="character" w:customStyle="1" w:styleId="60">
    <w:name w:val="WW8Num6z1"/>
    <w:uiPriority w:val="99"/>
  </w:style>
  <w:style w:type="character" w:customStyle="1" w:styleId="61">
    <w:name w:val="WW8Num6z2"/>
    <w:uiPriority w:val="99"/>
  </w:style>
  <w:style w:type="character" w:customStyle="1" w:styleId="62">
    <w:name w:val="WW8Num6z3"/>
    <w:uiPriority w:val="99"/>
  </w:style>
  <w:style w:type="character" w:customStyle="1" w:styleId="63">
    <w:name w:val="WW8Num6z4"/>
    <w:uiPriority w:val="99"/>
  </w:style>
  <w:style w:type="character" w:customStyle="1" w:styleId="64">
    <w:name w:val="WW8Num6z5"/>
    <w:uiPriority w:val="99"/>
  </w:style>
  <w:style w:type="character" w:customStyle="1" w:styleId="65">
    <w:name w:val="WW8Num6z6"/>
    <w:uiPriority w:val="99"/>
  </w:style>
  <w:style w:type="character" w:customStyle="1" w:styleId="66">
    <w:name w:val="WW8Num6z7"/>
    <w:uiPriority w:val="99"/>
  </w:style>
  <w:style w:type="character" w:customStyle="1" w:styleId="67">
    <w:name w:val="WW8Num6z8"/>
    <w:uiPriority w:val="99"/>
  </w:style>
  <w:style w:type="character" w:customStyle="1" w:styleId="68">
    <w:name w:val="WW8Num7z0"/>
    <w:uiPriority w:val="99"/>
    <w:rPr>
      <w:rFonts w:eastAsia="Times New Roman"/>
      <w:lang w:val="hr-HR"/>
    </w:rPr>
  </w:style>
  <w:style w:type="character" w:customStyle="1" w:styleId="69">
    <w:name w:val="WW8Num7z1"/>
    <w:uiPriority w:val="99"/>
  </w:style>
  <w:style w:type="character" w:customStyle="1" w:styleId="70">
    <w:name w:val="WW8Num7z2"/>
    <w:uiPriority w:val="99"/>
  </w:style>
  <w:style w:type="character" w:customStyle="1" w:styleId="71">
    <w:name w:val="WW8Num7z3"/>
    <w:uiPriority w:val="99"/>
  </w:style>
  <w:style w:type="character" w:customStyle="1" w:styleId="72">
    <w:name w:val="WW8Num7z4"/>
    <w:uiPriority w:val="99"/>
  </w:style>
  <w:style w:type="character" w:customStyle="1" w:styleId="73">
    <w:name w:val="WW8Num7z5"/>
    <w:uiPriority w:val="99"/>
  </w:style>
  <w:style w:type="character" w:customStyle="1" w:styleId="74">
    <w:name w:val="WW8Num7z6"/>
    <w:uiPriority w:val="99"/>
  </w:style>
  <w:style w:type="character" w:customStyle="1" w:styleId="75">
    <w:name w:val="WW8Num7z7"/>
    <w:uiPriority w:val="99"/>
  </w:style>
  <w:style w:type="character" w:customStyle="1" w:styleId="76">
    <w:name w:val="WW8Num7z8"/>
    <w:uiPriority w:val="99"/>
  </w:style>
  <w:style w:type="character" w:customStyle="1" w:styleId="77">
    <w:name w:val="WW8Num8z0"/>
    <w:uiPriority w:val="99"/>
    <w:rPr>
      <w:rFonts w:ascii="Symbol" w:hAnsi="Symbol" w:cs="Symbol"/>
      <w:color w:val="auto"/>
    </w:rPr>
  </w:style>
  <w:style w:type="character" w:customStyle="1" w:styleId="78">
    <w:name w:val="WW8Num8z1"/>
    <w:uiPriority w:val="99"/>
    <w:rPr>
      <w:rFonts w:ascii="Courier New" w:hAnsi="Courier New" w:cs="Courier New"/>
    </w:rPr>
  </w:style>
  <w:style w:type="character" w:customStyle="1" w:styleId="79">
    <w:name w:val="WW8Num8z2"/>
    <w:uiPriority w:val="99"/>
    <w:rPr>
      <w:rFonts w:ascii="Wingdings" w:hAnsi="Wingdings" w:cs="Wingdings"/>
    </w:rPr>
  </w:style>
  <w:style w:type="character" w:customStyle="1" w:styleId="80">
    <w:name w:val="WW8Num8z3"/>
    <w:uiPriority w:val="99"/>
    <w:rPr>
      <w:rFonts w:ascii="Symbol" w:hAnsi="Symbol" w:cs="Symbol"/>
    </w:rPr>
  </w:style>
  <w:style w:type="character" w:customStyle="1" w:styleId="81">
    <w:name w:val="Zadani font odlomka3"/>
    <w:uiPriority w:val="99"/>
  </w:style>
  <w:style w:type="character" w:customStyle="1" w:styleId="82">
    <w:name w:val="WW8Num5z1"/>
    <w:uiPriority w:val="99"/>
    <w:rPr>
      <w:rFonts w:ascii="OpenSymbol" w:hAnsi="OpenSymbol" w:cs="OpenSymbol"/>
    </w:rPr>
  </w:style>
  <w:style w:type="character" w:customStyle="1" w:styleId="83">
    <w:name w:val="WW8Num9z0"/>
    <w:uiPriority w:val="99"/>
    <w:rPr>
      <w:rFonts w:ascii="Symbol" w:hAnsi="Symbol" w:cs="Symbol"/>
    </w:rPr>
  </w:style>
  <w:style w:type="character" w:customStyle="1" w:styleId="84">
    <w:name w:val="WW8Num9z1"/>
    <w:uiPriority w:val="99"/>
    <w:rPr>
      <w:rFonts w:ascii="OpenSymbol" w:hAnsi="OpenSymbol" w:cs="OpenSymbol"/>
    </w:rPr>
  </w:style>
  <w:style w:type="character" w:customStyle="1" w:styleId="85">
    <w:name w:val="WW8Num10z0"/>
    <w:uiPriority w:val="99"/>
    <w:rPr>
      <w:rFonts w:ascii="Symbol" w:hAnsi="Symbol" w:cs="Symbol"/>
    </w:rPr>
  </w:style>
  <w:style w:type="character" w:customStyle="1" w:styleId="86">
    <w:name w:val="WW8Num10z1"/>
    <w:uiPriority w:val="99"/>
    <w:rPr>
      <w:rFonts w:ascii="OpenSymbol" w:hAnsi="OpenSymbol" w:cs="OpenSymbol"/>
    </w:rPr>
  </w:style>
  <w:style w:type="character" w:customStyle="1" w:styleId="87">
    <w:name w:val="WW8Num11z0"/>
    <w:uiPriority w:val="99"/>
    <w:rPr>
      <w:rFonts w:ascii="Symbol" w:hAnsi="Symbol" w:cs="Symbol"/>
      <w:sz w:val="22"/>
      <w:szCs w:val="22"/>
    </w:rPr>
  </w:style>
  <w:style w:type="character" w:customStyle="1" w:styleId="88">
    <w:name w:val="WW8Num11z1"/>
    <w:uiPriority w:val="99"/>
    <w:rPr>
      <w:rFonts w:ascii="OpenSymbol" w:hAnsi="OpenSymbol" w:cs="OpenSymbol"/>
    </w:rPr>
  </w:style>
  <w:style w:type="character" w:customStyle="1" w:styleId="89">
    <w:name w:val="WW8Num12z0"/>
    <w:uiPriority w:val="99"/>
    <w:rPr>
      <w:rFonts w:ascii="Symbol" w:hAnsi="Symbol" w:cs="Symbol"/>
    </w:rPr>
  </w:style>
  <w:style w:type="character" w:customStyle="1" w:styleId="90">
    <w:name w:val="WW8Num12z1"/>
    <w:uiPriority w:val="99"/>
    <w:rPr>
      <w:rFonts w:ascii="OpenSymbol" w:hAnsi="OpenSymbol" w:cs="OpenSymbol"/>
    </w:rPr>
  </w:style>
  <w:style w:type="character" w:customStyle="1" w:styleId="91">
    <w:name w:val="WW8Num13z0"/>
    <w:uiPriority w:val="99"/>
    <w:rPr>
      <w:rFonts w:ascii="Symbol" w:hAnsi="Symbol" w:cs="Symbol"/>
    </w:rPr>
  </w:style>
  <w:style w:type="character" w:customStyle="1" w:styleId="92">
    <w:name w:val="WW8Num13z1"/>
    <w:uiPriority w:val="99"/>
    <w:rPr>
      <w:rFonts w:ascii="OpenSymbol" w:hAnsi="OpenSymbol" w:cs="OpenSymbol"/>
    </w:rPr>
  </w:style>
  <w:style w:type="character" w:customStyle="1" w:styleId="93">
    <w:name w:val="WW8Num14z0"/>
    <w:uiPriority w:val="99"/>
    <w:rPr>
      <w:rFonts w:ascii="Symbol" w:hAnsi="Symbol" w:cs="Symbol"/>
    </w:rPr>
  </w:style>
  <w:style w:type="character" w:customStyle="1" w:styleId="94">
    <w:name w:val="WW8Num14z1"/>
    <w:uiPriority w:val="99"/>
    <w:rPr>
      <w:rFonts w:ascii="Courier New" w:hAnsi="Courier New" w:cs="Courier New"/>
    </w:rPr>
  </w:style>
  <w:style w:type="character" w:customStyle="1" w:styleId="95">
    <w:name w:val="WW8Num14z2"/>
    <w:uiPriority w:val="99"/>
    <w:rPr>
      <w:rFonts w:ascii="Wingdings" w:hAnsi="Wingdings" w:cs="Wingdings"/>
    </w:rPr>
  </w:style>
  <w:style w:type="character" w:customStyle="1" w:styleId="96">
    <w:name w:val="WW8Num15z0"/>
    <w:uiPriority w:val="99"/>
    <w:rPr>
      <w:rFonts w:ascii="Symbol" w:hAnsi="Symbol" w:cs="Symbol"/>
    </w:rPr>
  </w:style>
  <w:style w:type="character" w:customStyle="1" w:styleId="97">
    <w:name w:val="WW8Num15z1"/>
    <w:uiPriority w:val="99"/>
    <w:rPr>
      <w:rFonts w:ascii="Courier New" w:hAnsi="Courier New" w:cs="Courier New"/>
    </w:rPr>
  </w:style>
  <w:style w:type="character" w:customStyle="1" w:styleId="98">
    <w:name w:val="WW8Num15z2"/>
    <w:uiPriority w:val="99"/>
    <w:rPr>
      <w:rFonts w:ascii="Wingdings" w:hAnsi="Wingdings" w:cs="Wingdings"/>
    </w:rPr>
  </w:style>
  <w:style w:type="character" w:customStyle="1" w:styleId="99">
    <w:name w:val="WW8Num16z0"/>
    <w:uiPriority w:val="99"/>
    <w:rPr>
      <w:rFonts w:ascii="Symbol" w:hAnsi="Symbol" w:cs="Symbol"/>
    </w:rPr>
  </w:style>
  <w:style w:type="character" w:customStyle="1" w:styleId="100">
    <w:name w:val="WW8Num16z1"/>
    <w:uiPriority w:val="99"/>
    <w:rPr>
      <w:rFonts w:ascii="Courier New" w:hAnsi="Courier New" w:cs="Courier New"/>
    </w:rPr>
  </w:style>
  <w:style w:type="character" w:customStyle="1" w:styleId="101">
    <w:name w:val="WW8Num16z2"/>
    <w:uiPriority w:val="99"/>
    <w:rPr>
      <w:rFonts w:ascii="Wingdings" w:hAnsi="Wingdings" w:cs="Wingdings"/>
    </w:rPr>
  </w:style>
  <w:style w:type="character" w:customStyle="1" w:styleId="102">
    <w:name w:val="WW8Num17z0"/>
    <w:uiPriority w:val="99"/>
    <w:rPr>
      <w:rFonts w:ascii="Times New Roman" w:hAnsi="Times New Roman" w:cs="Times New Roman"/>
    </w:rPr>
  </w:style>
  <w:style w:type="character" w:customStyle="1" w:styleId="103">
    <w:name w:val="WW8Num17z1"/>
    <w:uiPriority w:val="99"/>
    <w:rPr>
      <w:rFonts w:ascii="Courier New" w:hAnsi="Courier New" w:cs="Courier New"/>
    </w:rPr>
  </w:style>
  <w:style w:type="character" w:customStyle="1" w:styleId="104">
    <w:name w:val="WW8Num17z2"/>
    <w:uiPriority w:val="99"/>
    <w:rPr>
      <w:rFonts w:ascii="Wingdings" w:hAnsi="Wingdings" w:cs="Wingdings"/>
    </w:rPr>
  </w:style>
  <w:style w:type="character" w:customStyle="1" w:styleId="105">
    <w:name w:val="WW8Num17z3"/>
    <w:uiPriority w:val="99"/>
    <w:rPr>
      <w:rFonts w:ascii="Symbol" w:hAnsi="Symbol" w:cs="Symbol"/>
    </w:rPr>
  </w:style>
  <w:style w:type="character" w:customStyle="1" w:styleId="106">
    <w:name w:val="WW8Num18z0"/>
    <w:uiPriority w:val="99"/>
    <w:rPr>
      <w:rFonts w:ascii="Symbol" w:hAnsi="Symbol" w:cs="Symbol"/>
    </w:rPr>
  </w:style>
  <w:style w:type="character" w:customStyle="1" w:styleId="107">
    <w:name w:val="WW8Num18z1"/>
    <w:uiPriority w:val="99"/>
    <w:rPr>
      <w:rFonts w:ascii="Courier New" w:hAnsi="Courier New" w:cs="Courier New"/>
    </w:rPr>
  </w:style>
  <w:style w:type="character" w:customStyle="1" w:styleId="108">
    <w:name w:val="WW8Num18z2"/>
    <w:uiPriority w:val="99"/>
    <w:rPr>
      <w:rFonts w:ascii="Wingdings" w:hAnsi="Wingdings" w:cs="Wingdings"/>
    </w:rPr>
  </w:style>
  <w:style w:type="character" w:customStyle="1" w:styleId="109">
    <w:name w:val="WW8Num19z0"/>
    <w:uiPriority w:val="99"/>
    <w:rPr>
      <w:rFonts w:ascii="Times New Roman" w:hAnsi="Times New Roman" w:cs="Times New Roman"/>
      <w:sz w:val="22"/>
      <w:szCs w:val="22"/>
      <w:lang w:val="hr-HR"/>
    </w:rPr>
  </w:style>
  <w:style w:type="character" w:customStyle="1" w:styleId="110">
    <w:name w:val="WW8Num20z0"/>
    <w:uiPriority w:val="99"/>
    <w:rPr>
      <w:rFonts w:eastAsia="Times New Roman"/>
      <w:lang w:val="hr-HR"/>
    </w:rPr>
  </w:style>
  <w:style w:type="character" w:customStyle="1" w:styleId="111">
    <w:name w:val="WW8Num20z1"/>
    <w:uiPriority w:val="99"/>
  </w:style>
  <w:style w:type="character" w:customStyle="1" w:styleId="112">
    <w:name w:val="WW8Num20z2"/>
    <w:uiPriority w:val="99"/>
  </w:style>
  <w:style w:type="character" w:customStyle="1" w:styleId="113">
    <w:name w:val="WW8Num20z3"/>
    <w:uiPriority w:val="99"/>
  </w:style>
  <w:style w:type="character" w:customStyle="1" w:styleId="114">
    <w:name w:val="WW8Num20z4"/>
    <w:uiPriority w:val="99"/>
  </w:style>
  <w:style w:type="character" w:customStyle="1" w:styleId="115">
    <w:name w:val="WW8Num20z5"/>
    <w:uiPriority w:val="99"/>
  </w:style>
  <w:style w:type="character" w:customStyle="1" w:styleId="116">
    <w:name w:val="WW8Num20z6"/>
    <w:uiPriority w:val="99"/>
  </w:style>
  <w:style w:type="character" w:customStyle="1" w:styleId="117">
    <w:name w:val="WW8Num20z7"/>
    <w:uiPriority w:val="99"/>
  </w:style>
  <w:style w:type="character" w:customStyle="1" w:styleId="118">
    <w:name w:val="WW8Num20z8"/>
    <w:uiPriority w:val="99"/>
  </w:style>
  <w:style w:type="character" w:customStyle="1" w:styleId="119">
    <w:name w:val="Zadani font odlomka2"/>
    <w:uiPriority w:val="99"/>
  </w:style>
  <w:style w:type="character" w:customStyle="1" w:styleId="120">
    <w:name w:val="WW8Num2z1"/>
    <w:uiPriority w:val="99"/>
    <w:rPr>
      <w:rFonts w:ascii="Courier New" w:hAnsi="Courier New" w:cs="Courier New"/>
    </w:rPr>
  </w:style>
  <w:style w:type="character" w:customStyle="1" w:styleId="121">
    <w:name w:val="WW8Num2z2"/>
    <w:uiPriority w:val="99"/>
    <w:rPr>
      <w:rFonts w:ascii="Wingdings" w:hAnsi="Wingdings" w:cs="Wingdings"/>
    </w:rPr>
  </w:style>
  <w:style w:type="character" w:customStyle="1" w:styleId="122">
    <w:name w:val="WW8Num4z1"/>
    <w:uiPriority w:val="99"/>
  </w:style>
  <w:style w:type="character" w:customStyle="1" w:styleId="123">
    <w:name w:val="WW8Num5z2"/>
    <w:uiPriority w:val="99"/>
    <w:rPr>
      <w:rFonts w:ascii="Wingdings" w:hAnsi="Wingdings" w:cs="Wingdings"/>
    </w:rPr>
  </w:style>
  <w:style w:type="character" w:customStyle="1" w:styleId="124">
    <w:name w:val="WW8Num8z4"/>
    <w:uiPriority w:val="99"/>
  </w:style>
  <w:style w:type="character" w:customStyle="1" w:styleId="125">
    <w:name w:val="WW8Num8z5"/>
    <w:uiPriority w:val="99"/>
  </w:style>
  <w:style w:type="character" w:customStyle="1" w:styleId="126">
    <w:name w:val="WW8Num8z6"/>
    <w:uiPriority w:val="99"/>
  </w:style>
  <w:style w:type="character" w:customStyle="1" w:styleId="127">
    <w:name w:val="WW8Num8z7"/>
    <w:uiPriority w:val="99"/>
  </w:style>
  <w:style w:type="character" w:customStyle="1" w:styleId="128">
    <w:name w:val="WW8Num8z8"/>
    <w:uiPriority w:val="99"/>
  </w:style>
  <w:style w:type="character" w:customStyle="1" w:styleId="129">
    <w:name w:val="WW8Num9z2"/>
    <w:uiPriority w:val="99"/>
  </w:style>
  <w:style w:type="character" w:customStyle="1" w:styleId="130">
    <w:name w:val="WW8Num9z3"/>
    <w:uiPriority w:val="99"/>
  </w:style>
  <w:style w:type="character" w:customStyle="1" w:styleId="131">
    <w:name w:val="WW8Num9z4"/>
    <w:uiPriority w:val="99"/>
  </w:style>
  <w:style w:type="character" w:customStyle="1" w:styleId="132">
    <w:name w:val="WW8Num9z5"/>
    <w:uiPriority w:val="99"/>
  </w:style>
  <w:style w:type="character" w:customStyle="1" w:styleId="133">
    <w:name w:val="WW8Num9z6"/>
    <w:uiPriority w:val="99"/>
  </w:style>
  <w:style w:type="character" w:customStyle="1" w:styleId="134">
    <w:name w:val="WW8Num9z7"/>
    <w:uiPriority w:val="99"/>
  </w:style>
  <w:style w:type="character" w:customStyle="1" w:styleId="135">
    <w:name w:val="WW8Num9z8"/>
    <w:uiPriority w:val="99"/>
  </w:style>
  <w:style w:type="character" w:customStyle="1" w:styleId="136">
    <w:name w:val="WW8Num10z2"/>
    <w:uiPriority w:val="99"/>
  </w:style>
  <w:style w:type="character" w:customStyle="1" w:styleId="137">
    <w:name w:val="WW8Num10z3"/>
    <w:uiPriority w:val="99"/>
  </w:style>
  <w:style w:type="character" w:customStyle="1" w:styleId="138">
    <w:name w:val="WW8Num10z4"/>
    <w:uiPriority w:val="99"/>
  </w:style>
  <w:style w:type="character" w:customStyle="1" w:styleId="139">
    <w:name w:val="WW8Num10z5"/>
    <w:uiPriority w:val="99"/>
  </w:style>
  <w:style w:type="character" w:customStyle="1" w:styleId="140">
    <w:name w:val="WW8Num10z6"/>
    <w:uiPriority w:val="99"/>
  </w:style>
  <w:style w:type="character" w:customStyle="1" w:styleId="141">
    <w:name w:val="WW8Num10z7"/>
    <w:uiPriority w:val="99"/>
  </w:style>
  <w:style w:type="character" w:customStyle="1" w:styleId="142">
    <w:name w:val="WW8Num10z8"/>
    <w:uiPriority w:val="99"/>
  </w:style>
  <w:style w:type="character" w:customStyle="1" w:styleId="143">
    <w:name w:val="WW8Num11z2"/>
    <w:uiPriority w:val="99"/>
    <w:rPr>
      <w:rFonts w:ascii="Wingdings" w:hAnsi="Wingdings" w:cs="Wingdings"/>
    </w:rPr>
  </w:style>
  <w:style w:type="character" w:customStyle="1" w:styleId="144">
    <w:name w:val="WW8Num12z2"/>
    <w:uiPriority w:val="99"/>
  </w:style>
  <w:style w:type="character" w:customStyle="1" w:styleId="145">
    <w:name w:val="WW8Num12z3"/>
    <w:uiPriority w:val="99"/>
  </w:style>
  <w:style w:type="character" w:customStyle="1" w:styleId="146">
    <w:name w:val="WW8Num12z4"/>
    <w:uiPriority w:val="99"/>
  </w:style>
  <w:style w:type="character" w:customStyle="1" w:styleId="147">
    <w:name w:val="WW8Num12z5"/>
    <w:uiPriority w:val="99"/>
  </w:style>
  <w:style w:type="character" w:customStyle="1" w:styleId="148">
    <w:name w:val="WW8Num12z6"/>
    <w:qFormat/>
    <w:uiPriority w:val="99"/>
  </w:style>
  <w:style w:type="character" w:customStyle="1" w:styleId="149">
    <w:name w:val="WW8Num12z7"/>
    <w:qFormat/>
    <w:uiPriority w:val="99"/>
  </w:style>
  <w:style w:type="character" w:customStyle="1" w:styleId="150">
    <w:name w:val="WW8Num12z8"/>
    <w:qFormat/>
    <w:uiPriority w:val="99"/>
  </w:style>
  <w:style w:type="character" w:customStyle="1" w:styleId="151">
    <w:name w:val="WW8Num13z2"/>
    <w:qFormat/>
    <w:uiPriority w:val="99"/>
    <w:rPr>
      <w:rFonts w:ascii="Wingdings" w:hAnsi="Wingdings" w:cs="Wingdings"/>
    </w:rPr>
  </w:style>
  <w:style w:type="character" w:customStyle="1" w:styleId="152">
    <w:name w:val="WW8Num13z3"/>
    <w:qFormat/>
    <w:uiPriority w:val="99"/>
    <w:rPr>
      <w:rFonts w:ascii="Symbol" w:hAnsi="Symbol" w:cs="Symbol"/>
    </w:rPr>
  </w:style>
  <w:style w:type="character" w:customStyle="1" w:styleId="153">
    <w:name w:val="WW8Num15z3"/>
    <w:qFormat/>
    <w:uiPriority w:val="99"/>
  </w:style>
  <w:style w:type="character" w:customStyle="1" w:styleId="154">
    <w:name w:val="WW8Num15z4"/>
    <w:qFormat/>
    <w:uiPriority w:val="99"/>
  </w:style>
  <w:style w:type="character" w:customStyle="1" w:styleId="155">
    <w:name w:val="WW8Num15z5"/>
    <w:qFormat/>
    <w:uiPriority w:val="99"/>
  </w:style>
  <w:style w:type="character" w:customStyle="1" w:styleId="156">
    <w:name w:val="WW8Num15z6"/>
    <w:qFormat/>
    <w:uiPriority w:val="99"/>
  </w:style>
  <w:style w:type="character" w:customStyle="1" w:styleId="157">
    <w:name w:val="WW8Num15z7"/>
    <w:qFormat/>
    <w:uiPriority w:val="99"/>
  </w:style>
  <w:style w:type="character" w:customStyle="1" w:styleId="158">
    <w:name w:val="WW8Num15z8"/>
    <w:qFormat/>
    <w:uiPriority w:val="99"/>
  </w:style>
  <w:style w:type="character" w:customStyle="1" w:styleId="159">
    <w:name w:val="WW8Num18z3"/>
    <w:qFormat/>
    <w:uiPriority w:val="99"/>
  </w:style>
  <w:style w:type="character" w:customStyle="1" w:styleId="160">
    <w:name w:val="WW8Num18z4"/>
    <w:qFormat/>
    <w:uiPriority w:val="99"/>
  </w:style>
  <w:style w:type="character" w:customStyle="1" w:styleId="161">
    <w:name w:val="WW8Num18z5"/>
    <w:qFormat/>
    <w:uiPriority w:val="99"/>
  </w:style>
  <w:style w:type="character" w:customStyle="1" w:styleId="162">
    <w:name w:val="WW8Num18z6"/>
    <w:qFormat/>
    <w:uiPriority w:val="99"/>
  </w:style>
  <w:style w:type="character" w:customStyle="1" w:styleId="163">
    <w:name w:val="WW8Num18z7"/>
    <w:qFormat/>
    <w:uiPriority w:val="99"/>
  </w:style>
  <w:style w:type="character" w:customStyle="1" w:styleId="164">
    <w:name w:val="WW8Num18z8"/>
    <w:qFormat/>
    <w:uiPriority w:val="99"/>
  </w:style>
  <w:style w:type="character" w:customStyle="1" w:styleId="165">
    <w:name w:val="WW8Num19z1"/>
    <w:qFormat/>
    <w:uiPriority w:val="99"/>
  </w:style>
  <w:style w:type="character" w:customStyle="1" w:styleId="166">
    <w:name w:val="WW8Num19z2"/>
    <w:qFormat/>
    <w:uiPriority w:val="99"/>
  </w:style>
  <w:style w:type="character" w:customStyle="1" w:styleId="167">
    <w:name w:val="WW8Num19z3"/>
    <w:qFormat/>
    <w:uiPriority w:val="99"/>
  </w:style>
  <w:style w:type="character" w:customStyle="1" w:styleId="168">
    <w:name w:val="WW8Num19z4"/>
    <w:qFormat/>
    <w:uiPriority w:val="99"/>
  </w:style>
  <w:style w:type="character" w:customStyle="1" w:styleId="169">
    <w:name w:val="WW8Num19z5"/>
    <w:qFormat/>
    <w:uiPriority w:val="99"/>
  </w:style>
  <w:style w:type="character" w:customStyle="1" w:styleId="170">
    <w:name w:val="WW8Num19z6"/>
    <w:qFormat/>
    <w:uiPriority w:val="99"/>
  </w:style>
  <w:style w:type="character" w:customStyle="1" w:styleId="171">
    <w:name w:val="WW8Num19z7"/>
    <w:qFormat/>
    <w:uiPriority w:val="99"/>
  </w:style>
  <w:style w:type="character" w:customStyle="1" w:styleId="172">
    <w:name w:val="WW8Num19z8"/>
    <w:qFormat/>
    <w:uiPriority w:val="99"/>
  </w:style>
  <w:style w:type="character" w:customStyle="1" w:styleId="173">
    <w:name w:val="WW8Num21z0"/>
    <w:qFormat/>
    <w:uiPriority w:val="99"/>
  </w:style>
  <w:style w:type="character" w:customStyle="1" w:styleId="174">
    <w:name w:val="WW8Num22z0"/>
    <w:qFormat/>
    <w:uiPriority w:val="99"/>
  </w:style>
  <w:style w:type="character" w:customStyle="1" w:styleId="175">
    <w:name w:val="WW8Num22z1"/>
    <w:qFormat/>
    <w:uiPriority w:val="99"/>
  </w:style>
  <w:style w:type="character" w:customStyle="1" w:styleId="176">
    <w:name w:val="WW8Num22z2"/>
    <w:qFormat/>
    <w:uiPriority w:val="99"/>
  </w:style>
  <w:style w:type="character" w:customStyle="1" w:styleId="177">
    <w:name w:val="WW8Num22z3"/>
    <w:qFormat/>
    <w:uiPriority w:val="99"/>
  </w:style>
  <w:style w:type="character" w:customStyle="1" w:styleId="178">
    <w:name w:val="WW8Num22z4"/>
    <w:qFormat/>
    <w:uiPriority w:val="99"/>
  </w:style>
  <w:style w:type="character" w:customStyle="1" w:styleId="179">
    <w:name w:val="WW8Num22z5"/>
    <w:qFormat/>
    <w:uiPriority w:val="99"/>
  </w:style>
  <w:style w:type="character" w:customStyle="1" w:styleId="180">
    <w:name w:val="WW8Num22z6"/>
    <w:qFormat/>
    <w:uiPriority w:val="99"/>
  </w:style>
  <w:style w:type="character" w:customStyle="1" w:styleId="181">
    <w:name w:val="WW8Num22z7"/>
    <w:qFormat/>
    <w:uiPriority w:val="99"/>
  </w:style>
  <w:style w:type="character" w:customStyle="1" w:styleId="182">
    <w:name w:val="WW8Num22z8"/>
    <w:qFormat/>
    <w:uiPriority w:val="99"/>
  </w:style>
  <w:style w:type="character" w:customStyle="1" w:styleId="183">
    <w:name w:val="WW8Num23z0"/>
    <w:qFormat/>
    <w:uiPriority w:val="99"/>
  </w:style>
  <w:style w:type="character" w:customStyle="1" w:styleId="184">
    <w:name w:val="WW8Num23z1"/>
    <w:qFormat/>
    <w:uiPriority w:val="99"/>
  </w:style>
  <w:style w:type="character" w:customStyle="1" w:styleId="185">
    <w:name w:val="WW8Num23z2"/>
    <w:qFormat/>
    <w:uiPriority w:val="99"/>
  </w:style>
  <w:style w:type="character" w:customStyle="1" w:styleId="186">
    <w:name w:val="WW8Num23z3"/>
    <w:qFormat/>
    <w:uiPriority w:val="99"/>
  </w:style>
  <w:style w:type="character" w:customStyle="1" w:styleId="187">
    <w:name w:val="WW8Num23z4"/>
    <w:qFormat/>
    <w:uiPriority w:val="99"/>
  </w:style>
  <w:style w:type="character" w:customStyle="1" w:styleId="188">
    <w:name w:val="WW8Num23z5"/>
    <w:qFormat/>
    <w:uiPriority w:val="99"/>
  </w:style>
  <w:style w:type="character" w:customStyle="1" w:styleId="189">
    <w:name w:val="WW8Num23z6"/>
    <w:qFormat/>
    <w:uiPriority w:val="99"/>
  </w:style>
  <w:style w:type="character" w:customStyle="1" w:styleId="190">
    <w:name w:val="WW8Num23z7"/>
    <w:qFormat/>
    <w:uiPriority w:val="99"/>
  </w:style>
  <w:style w:type="character" w:customStyle="1" w:styleId="191">
    <w:name w:val="WW8Num23z8"/>
    <w:qFormat/>
    <w:uiPriority w:val="99"/>
  </w:style>
  <w:style w:type="character" w:customStyle="1" w:styleId="192">
    <w:name w:val="Zadani font odlomka1"/>
    <w:qFormat/>
    <w:uiPriority w:val="99"/>
  </w:style>
  <w:style w:type="character" w:customStyle="1" w:styleId="193">
    <w:name w:val="Tijelo teksta 3 Char"/>
    <w:qFormat/>
    <w:uiPriority w:val="99"/>
    <w:rPr>
      <w:rFonts w:eastAsia="Times New Roman"/>
      <w:i/>
      <w:iCs/>
      <w:sz w:val="24"/>
      <w:szCs w:val="24"/>
      <w:lang w:val="en-US"/>
    </w:rPr>
  </w:style>
  <w:style w:type="character" w:customStyle="1" w:styleId="194">
    <w:name w:val="Zaglavlje Char"/>
    <w:qFormat/>
    <w:uiPriority w:val="99"/>
    <w:rPr>
      <w:rFonts w:ascii="HRAvantgard" w:hAnsi="HRAvantgard" w:cs="HRAvantgard"/>
      <w:sz w:val="24"/>
      <w:szCs w:val="24"/>
      <w:lang w:val="en-US"/>
    </w:rPr>
  </w:style>
  <w:style w:type="character" w:customStyle="1" w:styleId="195">
    <w:name w:val="outputformat1"/>
    <w:qFormat/>
    <w:uiPriority w:val="99"/>
    <w:rPr>
      <w:rFonts w:ascii="Arial" w:hAnsi="Arial" w:cs="Arial"/>
      <w:sz w:val="18"/>
      <w:szCs w:val="18"/>
    </w:rPr>
  </w:style>
  <w:style w:type="character" w:customStyle="1" w:styleId="196">
    <w:name w:val="Font Style11"/>
    <w:qFormat/>
    <w:uiPriority w:val="99"/>
    <w:rPr>
      <w:rFonts w:ascii="Arial Unicode MS" w:hAnsi="Arial Unicode MS" w:cs="Arial Unicode MS"/>
      <w:b/>
      <w:bCs/>
      <w:sz w:val="20"/>
      <w:szCs w:val="20"/>
    </w:rPr>
  </w:style>
  <w:style w:type="character" w:customStyle="1" w:styleId="197">
    <w:name w:val="Font Style12"/>
    <w:qFormat/>
    <w:uiPriority w:val="99"/>
    <w:rPr>
      <w:rFonts w:ascii="Arial Unicode MS" w:hAnsi="Arial Unicode MS" w:cs="Arial Unicode MS"/>
      <w:b/>
      <w:bCs/>
      <w:sz w:val="20"/>
      <w:szCs w:val="20"/>
    </w:rPr>
  </w:style>
  <w:style w:type="character" w:customStyle="1" w:styleId="198">
    <w:name w:val="Font Style13"/>
    <w:qFormat/>
    <w:uiPriority w:val="99"/>
    <w:rPr>
      <w:rFonts w:ascii="Arial Unicode MS" w:hAnsi="Arial Unicode MS" w:cs="Arial Unicode MS"/>
      <w:sz w:val="20"/>
      <w:szCs w:val="20"/>
    </w:rPr>
  </w:style>
  <w:style w:type="character" w:customStyle="1" w:styleId="199">
    <w:name w:val="Font Style14"/>
    <w:qFormat/>
    <w:uiPriority w:val="99"/>
    <w:rPr>
      <w:rFonts w:ascii="Arial Unicode MS" w:hAnsi="Arial Unicode MS" w:cs="Arial Unicode MS"/>
      <w:sz w:val="20"/>
      <w:szCs w:val="20"/>
    </w:rPr>
  </w:style>
  <w:style w:type="character" w:customStyle="1" w:styleId="200">
    <w:name w:val="Tijelo teksta 2 Char"/>
    <w:qFormat/>
    <w:uiPriority w:val="99"/>
    <w:rPr>
      <w:b/>
      <w:bCs/>
      <w:sz w:val="24"/>
      <w:szCs w:val="24"/>
      <w:lang w:val="en-AU"/>
    </w:rPr>
  </w:style>
  <w:style w:type="character" w:customStyle="1" w:styleId="201">
    <w:name w:val="Tijelo teksta - uvlaka 3 Char"/>
    <w:qFormat/>
    <w:uiPriority w:val="99"/>
    <w:rPr>
      <w:rFonts w:eastAsia="Times New Roman"/>
      <w:sz w:val="16"/>
      <w:szCs w:val="16"/>
      <w:lang w:val="hr-HR"/>
    </w:rPr>
  </w:style>
  <w:style w:type="character" w:customStyle="1" w:styleId="202">
    <w:name w:val="Font Style21"/>
    <w:qFormat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203">
    <w:name w:val="Naslov 1 Char"/>
    <w:qFormat/>
    <w:uiPriority w:val="99"/>
    <w:rPr>
      <w:b/>
      <w:bCs/>
      <w:sz w:val="32"/>
      <w:szCs w:val="32"/>
      <w:lang w:val="en-AU"/>
    </w:rPr>
  </w:style>
  <w:style w:type="character" w:customStyle="1" w:styleId="204">
    <w:name w:val="Naslov 2 Char"/>
    <w:qFormat/>
    <w:uiPriority w:val="99"/>
    <w:rPr>
      <w:b/>
      <w:bCs/>
      <w:sz w:val="26"/>
      <w:szCs w:val="26"/>
      <w:lang w:val="en-AU"/>
    </w:rPr>
  </w:style>
  <w:style w:type="character" w:customStyle="1" w:styleId="205">
    <w:name w:val="Podnožje Char"/>
    <w:qFormat/>
    <w:uiPriority w:val="99"/>
    <w:rPr>
      <w:rFonts w:ascii="HRAvantgard" w:hAnsi="HRAvantgard" w:cs="HRAvantgard"/>
      <w:sz w:val="24"/>
      <w:szCs w:val="24"/>
      <w:lang w:val="en-US"/>
    </w:rPr>
  </w:style>
  <w:style w:type="character" w:customStyle="1" w:styleId="206">
    <w:name w:val="Tekst balončića Char"/>
    <w:qFormat/>
    <w:uiPriority w:val="99"/>
    <w:rPr>
      <w:rFonts w:ascii="Tahoma" w:hAnsi="Tahoma" w:cs="Tahoma"/>
      <w:sz w:val="16"/>
      <w:szCs w:val="16"/>
      <w:lang w:val="en-AU"/>
    </w:rPr>
  </w:style>
  <w:style w:type="character" w:customStyle="1" w:styleId="207">
    <w:name w:val="Tijelo teksta Char"/>
    <w:qFormat/>
    <w:uiPriority w:val="99"/>
    <w:rPr>
      <w:rFonts w:ascii="HRAvantgard" w:hAnsi="HRAvantgard" w:cs="HRAvantgard"/>
      <w:sz w:val="24"/>
      <w:szCs w:val="24"/>
      <w:lang w:val="en-US"/>
    </w:rPr>
  </w:style>
  <w:style w:type="character" w:customStyle="1" w:styleId="208">
    <w:name w:val="Naslov 6 Char"/>
    <w:qFormat/>
    <w:uiPriority w:val="99"/>
    <w:rPr>
      <w:rFonts w:ascii="Calibri" w:hAnsi="Calibri" w:cs="Calibri"/>
      <w:b/>
      <w:bCs/>
      <w:sz w:val="22"/>
      <w:szCs w:val="22"/>
      <w:lang w:val="en-US"/>
    </w:rPr>
  </w:style>
  <w:style w:type="character" w:customStyle="1" w:styleId="209">
    <w:name w:val="Naslov 3 Char"/>
    <w:qFormat/>
    <w:uiPriority w:val="99"/>
    <w:rPr>
      <w:rFonts w:ascii="Arial" w:hAnsi="Arial" w:cs="Arial"/>
      <w:b/>
      <w:bCs/>
      <w:sz w:val="26"/>
      <w:szCs w:val="26"/>
      <w:lang w:val="en-US"/>
    </w:rPr>
  </w:style>
  <w:style w:type="character" w:customStyle="1" w:styleId="210">
    <w:name w:val="ListLabel 10"/>
    <w:qFormat/>
    <w:uiPriority w:val="99"/>
  </w:style>
  <w:style w:type="character" w:customStyle="1" w:styleId="211">
    <w:name w:val="ListLabel 11"/>
    <w:qFormat/>
    <w:uiPriority w:val="99"/>
  </w:style>
  <w:style w:type="character" w:customStyle="1" w:styleId="212">
    <w:name w:val="ListLabel 12"/>
    <w:qFormat/>
    <w:uiPriority w:val="99"/>
  </w:style>
  <w:style w:type="character" w:customStyle="1" w:styleId="213">
    <w:name w:val="ListLabel 1"/>
    <w:qFormat/>
    <w:uiPriority w:val="99"/>
  </w:style>
  <w:style w:type="character" w:customStyle="1" w:styleId="214">
    <w:name w:val="ListLabel 2"/>
    <w:qFormat/>
    <w:uiPriority w:val="99"/>
  </w:style>
  <w:style w:type="character" w:customStyle="1" w:styleId="215">
    <w:name w:val="ListLabel 3"/>
    <w:qFormat/>
    <w:uiPriority w:val="99"/>
  </w:style>
  <w:style w:type="character" w:customStyle="1" w:styleId="216">
    <w:name w:val="ListLabel 7"/>
    <w:qFormat/>
    <w:uiPriority w:val="99"/>
  </w:style>
  <w:style w:type="character" w:customStyle="1" w:styleId="217">
    <w:name w:val="ListLabel 8"/>
    <w:qFormat/>
    <w:uiPriority w:val="99"/>
  </w:style>
  <w:style w:type="character" w:customStyle="1" w:styleId="218">
    <w:name w:val="ListLabel 9"/>
    <w:qFormat/>
    <w:uiPriority w:val="99"/>
  </w:style>
  <w:style w:type="character" w:customStyle="1" w:styleId="219">
    <w:name w:val="ListLabel 4"/>
    <w:qFormat/>
    <w:uiPriority w:val="99"/>
  </w:style>
  <w:style w:type="character" w:customStyle="1" w:styleId="220">
    <w:name w:val="ListLabel 5"/>
    <w:qFormat/>
    <w:uiPriority w:val="99"/>
  </w:style>
  <w:style w:type="character" w:customStyle="1" w:styleId="221">
    <w:name w:val="ListLabel 6"/>
    <w:qFormat/>
    <w:uiPriority w:val="99"/>
  </w:style>
  <w:style w:type="character" w:customStyle="1" w:styleId="222">
    <w:name w:val="Naslov 4 Char"/>
    <w:qFormat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223">
    <w:name w:val="Zadani font odlomka4"/>
    <w:qFormat/>
    <w:uiPriority w:val="99"/>
  </w:style>
  <w:style w:type="character" w:customStyle="1" w:styleId="224">
    <w:name w:val="Grafičke oznake1"/>
    <w:qFormat/>
    <w:uiPriority w:val="99"/>
    <w:rPr>
      <w:rFonts w:ascii="OpenSymbol" w:hAnsi="OpenSymbol" w:cs="OpenSymbol"/>
    </w:rPr>
  </w:style>
  <w:style w:type="paragraph" w:customStyle="1" w:styleId="225">
    <w:name w:val="Stil naslova"/>
    <w:basedOn w:val="1"/>
    <w:next w:val="12"/>
    <w:qFormat/>
    <w:uiPriority w:val="99"/>
    <w:pPr>
      <w:keepNext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customStyle="1" w:styleId="226">
    <w:name w:val="Indeks"/>
    <w:basedOn w:val="1"/>
    <w:qFormat/>
    <w:uiPriority w:val="99"/>
    <w:pPr>
      <w:suppressLineNumbers/>
    </w:pPr>
  </w:style>
  <w:style w:type="paragraph" w:customStyle="1" w:styleId="227">
    <w:name w:val="Opis slike3"/>
    <w:basedOn w:val="1"/>
    <w:qFormat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8">
    <w:name w:val="Opis slike2"/>
    <w:basedOn w:val="1"/>
    <w:qFormat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9">
    <w:name w:val="Tijelo teksta 31"/>
    <w:basedOn w:val="1"/>
    <w:qFormat/>
    <w:uiPriority w:val="99"/>
    <w:pPr>
      <w:jc w:val="center"/>
    </w:pPr>
    <w:rPr>
      <w:i/>
      <w:iCs/>
    </w:rPr>
  </w:style>
  <w:style w:type="paragraph" w:customStyle="1" w:styleId="230">
    <w:name w:val="Tijelo teksta - uvlaka 22"/>
    <w:basedOn w:val="1"/>
    <w:qFormat/>
    <w:uiPriority w:val="99"/>
    <w:pPr>
      <w:spacing w:after="120" w:line="480" w:lineRule="auto"/>
      <w:ind w:left="283"/>
    </w:pPr>
  </w:style>
  <w:style w:type="paragraph" w:customStyle="1" w:styleId="231">
    <w:name w:val="Opis slike1"/>
    <w:basedOn w:val="1"/>
    <w:next w:val="1"/>
    <w:qFormat/>
    <w:uiPriority w:val="99"/>
    <w:pPr>
      <w:ind w:right="50"/>
      <w:jc w:val="both"/>
    </w:pPr>
    <w:rPr>
      <w:b/>
      <w:bCs/>
      <w:sz w:val="26"/>
      <w:szCs w:val="26"/>
      <w:lang w:val="en-AU"/>
    </w:rPr>
  </w:style>
  <w:style w:type="paragraph" w:customStyle="1" w:styleId="232">
    <w:name w:val="Style1"/>
    <w:basedOn w:val="1"/>
    <w:qFormat/>
    <w:uiPriority w:val="99"/>
    <w:pPr>
      <w:widowControl w:val="0"/>
      <w:autoSpaceDE w:val="0"/>
    </w:pPr>
    <w:rPr>
      <w:rFonts w:ascii="Arial Unicode MS" w:hAnsi="Arial Unicode MS" w:cs="Arial Unicode MS"/>
      <w:lang w:val="hr-HR"/>
    </w:rPr>
  </w:style>
  <w:style w:type="paragraph" w:customStyle="1" w:styleId="233">
    <w:name w:val="Style2"/>
    <w:basedOn w:val="1"/>
    <w:qFormat/>
    <w:uiPriority w:val="99"/>
    <w:pPr>
      <w:widowControl w:val="0"/>
      <w:autoSpaceDE w:val="0"/>
      <w:spacing w:line="254" w:lineRule="exact"/>
      <w:ind w:firstLine="566"/>
    </w:pPr>
    <w:rPr>
      <w:rFonts w:ascii="Arial Unicode MS" w:hAnsi="Arial Unicode MS" w:cs="Arial Unicode MS"/>
      <w:lang w:val="hr-HR"/>
    </w:rPr>
  </w:style>
  <w:style w:type="paragraph" w:customStyle="1" w:styleId="234">
    <w:name w:val="Style3"/>
    <w:basedOn w:val="1"/>
    <w:qFormat/>
    <w:uiPriority w:val="99"/>
    <w:pPr>
      <w:widowControl w:val="0"/>
      <w:autoSpaceDE w:val="0"/>
      <w:jc w:val="center"/>
    </w:pPr>
    <w:rPr>
      <w:rFonts w:ascii="Arial Unicode MS" w:hAnsi="Arial Unicode MS" w:cs="Arial Unicode MS"/>
      <w:lang w:val="hr-HR"/>
    </w:rPr>
  </w:style>
  <w:style w:type="paragraph" w:customStyle="1" w:styleId="235">
    <w:name w:val="Style4"/>
    <w:basedOn w:val="1"/>
    <w:qFormat/>
    <w:uiPriority w:val="99"/>
    <w:pPr>
      <w:widowControl w:val="0"/>
      <w:autoSpaceDE w:val="0"/>
      <w:spacing w:line="252" w:lineRule="exact"/>
    </w:pPr>
    <w:rPr>
      <w:rFonts w:ascii="Arial Unicode MS" w:hAnsi="Arial Unicode MS" w:cs="Arial Unicode MS"/>
      <w:lang w:val="hr-HR"/>
    </w:rPr>
  </w:style>
  <w:style w:type="paragraph" w:customStyle="1" w:styleId="236">
    <w:name w:val="Tijelo teksta 21"/>
    <w:basedOn w:val="1"/>
    <w:qFormat/>
    <w:uiPriority w:val="99"/>
    <w:pPr>
      <w:spacing w:after="120" w:line="480" w:lineRule="auto"/>
    </w:pPr>
    <w:rPr>
      <w:b/>
      <w:bCs/>
      <w:lang w:val="en-AU"/>
    </w:rPr>
  </w:style>
  <w:style w:type="paragraph" w:customStyle="1" w:styleId="237">
    <w:name w:val="List Paragraph1"/>
    <w:basedOn w:val="1"/>
    <w:qFormat/>
    <w:uiPriority w:val="99"/>
    <w:pPr>
      <w:widowControl w:val="0"/>
      <w:ind w:left="720"/>
    </w:pPr>
    <w:rPr>
      <w:lang w:val="hr-HR"/>
    </w:rPr>
  </w:style>
  <w:style w:type="paragraph" w:customStyle="1" w:styleId="238">
    <w:name w:val="Tijelo teksta - uvlaka 31"/>
    <w:basedOn w:val="1"/>
    <w:qFormat/>
    <w:uiPriority w:val="99"/>
    <w:pPr>
      <w:spacing w:after="120"/>
      <w:ind w:left="283"/>
    </w:pPr>
    <w:rPr>
      <w:sz w:val="16"/>
      <w:szCs w:val="16"/>
      <w:lang w:val="hr-HR"/>
    </w:rPr>
  </w:style>
  <w:style w:type="paragraph" w:customStyle="1" w:styleId="239">
    <w:name w:val="t-12-9-fett-s"/>
    <w:basedOn w:val="1"/>
    <w:qFormat/>
    <w:uiPriority w:val="99"/>
    <w:pPr>
      <w:spacing w:before="280" w:after="280"/>
      <w:jc w:val="center"/>
    </w:pPr>
    <w:rPr>
      <w:b/>
      <w:bCs/>
      <w:sz w:val="28"/>
      <w:szCs w:val="28"/>
      <w:lang w:val="hr-HR"/>
    </w:rPr>
  </w:style>
  <w:style w:type="paragraph" w:customStyle="1" w:styleId="240">
    <w:name w:val="tb-na16"/>
    <w:basedOn w:val="1"/>
    <w:qFormat/>
    <w:uiPriority w:val="99"/>
    <w:pPr>
      <w:spacing w:before="280" w:after="280"/>
      <w:jc w:val="center"/>
    </w:pPr>
    <w:rPr>
      <w:b/>
      <w:bCs/>
      <w:sz w:val="36"/>
      <w:szCs w:val="36"/>
      <w:lang w:val="hr-HR"/>
    </w:rPr>
  </w:style>
  <w:style w:type="paragraph" w:customStyle="1" w:styleId="241">
    <w:name w:val="t-9-8"/>
    <w:basedOn w:val="1"/>
    <w:qFormat/>
    <w:uiPriority w:val="99"/>
    <w:pPr>
      <w:spacing w:before="280" w:after="280"/>
    </w:pPr>
    <w:rPr>
      <w:lang w:val="hr-HR"/>
    </w:rPr>
  </w:style>
  <w:style w:type="paragraph" w:customStyle="1" w:styleId="242">
    <w:name w:val="Style5"/>
    <w:basedOn w:val="1"/>
    <w:qFormat/>
    <w:uiPriority w:val="99"/>
    <w:pPr>
      <w:widowControl w:val="0"/>
      <w:autoSpaceDE w:val="0"/>
      <w:spacing w:line="278" w:lineRule="exact"/>
      <w:ind w:firstLine="708"/>
      <w:jc w:val="both"/>
    </w:pPr>
    <w:rPr>
      <w:lang w:val="hr-HR"/>
    </w:rPr>
  </w:style>
  <w:style w:type="paragraph" w:customStyle="1" w:styleId="243">
    <w:name w:val="Style10"/>
    <w:basedOn w:val="1"/>
    <w:qFormat/>
    <w:uiPriority w:val="99"/>
    <w:pPr>
      <w:widowControl w:val="0"/>
      <w:autoSpaceDE w:val="0"/>
      <w:spacing w:line="280" w:lineRule="exact"/>
    </w:pPr>
    <w:rPr>
      <w:lang w:val="hr-HR"/>
    </w:rPr>
  </w:style>
  <w:style w:type="paragraph" w:customStyle="1" w:styleId="244">
    <w:name w:val="Tijelo teksta - uvlaka 21"/>
    <w:basedOn w:val="1"/>
    <w:qFormat/>
    <w:uiPriority w:val="99"/>
    <w:pPr>
      <w:ind w:firstLine="720"/>
      <w:jc w:val="both"/>
    </w:pPr>
    <w:rPr>
      <w:b/>
      <w:bCs/>
      <w:lang w:val="hr-HR"/>
    </w:rPr>
  </w:style>
  <w:style w:type="paragraph" w:customStyle="1" w:styleId="245">
    <w:name w:val="xl65"/>
    <w:basedOn w:val="1"/>
    <w:qFormat/>
    <w:uiPriority w:val="99"/>
    <w:pPr>
      <w:spacing w:before="280" w:after="280"/>
    </w:pPr>
    <w:rPr>
      <w:sz w:val="18"/>
      <w:szCs w:val="18"/>
      <w:lang w:val="hr-HR"/>
    </w:rPr>
  </w:style>
  <w:style w:type="paragraph" w:customStyle="1" w:styleId="246">
    <w:name w:val="xl66"/>
    <w:basedOn w:val="1"/>
    <w:qFormat/>
    <w:uiPriority w:val="99"/>
    <w:pPr>
      <w:spacing w:before="280" w:after="280"/>
    </w:pPr>
    <w:rPr>
      <w:lang w:val="hr-HR"/>
    </w:rPr>
  </w:style>
  <w:style w:type="paragraph" w:customStyle="1" w:styleId="247">
    <w:name w:val="xl67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C0C0C0"/>
      <w:spacing w:before="280" w:after="280"/>
      <w:jc w:val="center"/>
    </w:pPr>
    <w:rPr>
      <w:b/>
      <w:bCs/>
      <w:sz w:val="18"/>
      <w:szCs w:val="18"/>
      <w:lang w:val="hr-HR"/>
    </w:rPr>
  </w:style>
  <w:style w:type="paragraph" w:customStyle="1" w:styleId="248">
    <w:name w:val="xl68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C0C0C0"/>
      <w:spacing w:before="280" w:after="280"/>
      <w:jc w:val="center"/>
    </w:pPr>
    <w:rPr>
      <w:b/>
      <w:bCs/>
      <w:sz w:val="18"/>
      <w:szCs w:val="18"/>
      <w:lang w:val="hr-HR"/>
    </w:rPr>
  </w:style>
  <w:style w:type="paragraph" w:customStyle="1" w:styleId="249">
    <w:name w:val="xl69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000080"/>
      <w:spacing w:before="280" w:after="280"/>
      <w:jc w:val="center"/>
    </w:pPr>
    <w:rPr>
      <w:b/>
      <w:bCs/>
      <w:color w:val="FFFFFF"/>
      <w:sz w:val="18"/>
      <w:szCs w:val="18"/>
      <w:lang w:val="hr-HR"/>
    </w:rPr>
  </w:style>
  <w:style w:type="paragraph" w:customStyle="1" w:styleId="250">
    <w:name w:val="xl70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000080"/>
      <w:spacing w:before="280" w:after="280"/>
    </w:pPr>
    <w:rPr>
      <w:b/>
      <w:bCs/>
      <w:color w:val="FFFFFF"/>
      <w:sz w:val="18"/>
      <w:szCs w:val="18"/>
      <w:lang w:val="hr-HR"/>
    </w:rPr>
  </w:style>
  <w:style w:type="paragraph" w:customStyle="1" w:styleId="251">
    <w:name w:val="xl71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/>
      <w:jc w:val="center"/>
    </w:pPr>
    <w:rPr>
      <w:sz w:val="18"/>
      <w:szCs w:val="18"/>
      <w:lang w:val="hr-HR"/>
    </w:rPr>
  </w:style>
  <w:style w:type="paragraph" w:customStyle="1" w:styleId="252">
    <w:name w:val="xl72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/>
    </w:pPr>
    <w:rPr>
      <w:sz w:val="18"/>
      <w:szCs w:val="18"/>
      <w:lang w:val="hr-HR"/>
    </w:rPr>
  </w:style>
  <w:style w:type="paragraph" w:customStyle="1" w:styleId="253">
    <w:name w:val="xl73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/>
    </w:pPr>
    <w:rPr>
      <w:sz w:val="18"/>
      <w:szCs w:val="18"/>
      <w:lang w:val="hr-HR"/>
    </w:rPr>
  </w:style>
  <w:style w:type="paragraph" w:customStyle="1" w:styleId="254">
    <w:name w:val="xl74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666699"/>
      <w:spacing w:before="280" w:after="280"/>
      <w:jc w:val="center"/>
    </w:pPr>
    <w:rPr>
      <w:b/>
      <w:bCs/>
      <w:color w:val="FFFFFF"/>
      <w:sz w:val="18"/>
      <w:szCs w:val="18"/>
      <w:lang w:val="hr-HR"/>
    </w:rPr>
  </w:style>
  <w:style w:type="paragraph" w:customStyle="1" w:styleId="255">
    <w:name w:val="xl75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666699"/>
      <w:spacing w:before="280" w:after="280"/>
    </w:pPr>
    <w:rPr>
      <w:b/>
      <w:bCs/>
      <w:color w:val="FFFFFF"/>
      <w:sz w:val="18"/>
      <w:szCs w:val="18"/>
      <w:lang w:val="hr-HR"/>
    </w:rPr>
  </w:style>
  <w:style w:type="paragraph" w:customStyle="1" w:styleId="256">
    <w:name w:val="xl76"/>
    <w:basedOn w:val="1"/>
    <w:qFormat/>
    <w:uiPriority w:val="99"/>
    <w:pPr>
      <w:spacing w:before="280" w:after="280"/>
      <w:jc w:val="center"/>
    </w:pPr>
    <w:rPr>
      <w:lang w:val="hr-HR"/>
    </w:rPr>
  </w:style>
  <w:style w:type="paragraph" w:customStyle="1" w:styleId="257">
    <w:name w:val="xl77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000080"/>
      <w:spacing w:before="280" w:after="280"/>
    </w:pPr>
    <w:rPr>
      <w:b/>
      <w:bCs/>
      <w:color w:val="FFFFFF"/>
      <w:sz w:val="18"/>
      <w:szCs w:val="18"/>
      <w:lang w:val="hr-HR"/>
    </w:rPr>
  </w:style>
  <w:style w:type="paragraph" w:customStyle="1" w:styleId="258">
    <w:name w:val="xl78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666699"/>
      <w:spacing w:before="280" w:after="280"/>
    </w:pPr>
    <w:rPr>
      <w:b/>
      <w:bCs/>
      <w:color w:val="FFFFFF"/>
      <w:sz w:val="18"/>
      <w:szCs w:val="18"/>
      <w:lang w:val="hr-HR"/>
    </w:rPr>
  </w:style>
  <w:style w:type="paragraph" w:customStyle="1" w:styleId="259">
    <w:name w:val="xl79"/>
    <w:basedOn w:val="1"/>
    <w:qFormat/>
    <w:uiPriority w:val="99"/>
    <w:pPr>
      <w:shd w:val="clear" w:color="auto" w:fill="99CCFF"/>
      <w:spacing w:before="280" w:after="280"/>
    </w:pPr>
    <w:rPr>
      <w:lang w:val="hr-HR"/>
    </w:rPr>
  </w:style>
  <w:style w:type="paragraph" w:customStyle="1" w:styleId="260">
    <w:name w:val="xl80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000080"/>
      <w:spacing w:before="280" w:after="280"/>
    </w:pPr>
    <w:rPr>
      <w:b/>
      <w:bCs/>
      <w:color w:val="FFFFFF"/>
      <w:sz w:val="18"/>
      <w:szCs w:val="18"/>
      <w:lang w:val="hr-HR"/>
    </w:rPr>
  </w:style>
  <w:style w:type="paragraph" w:customStyle="1" w:styleId="261">
    <w:name w:val="xl81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666699"/>
      <w:spacing w:before="280" w:after="280"/>
    </w:pPr>
    <w:rPr>
      <w:b/>
      <w:bCs/>
      <w:color w:val="FFFFFF"/>
      <w:sz w:val="18"/>
      <w:szCs w:val="18"/>
      <w:lang w:val="hr-HR"/>
    </w:rPr>
  </w:style>
  <w:style w:type="paragraph" w:customStyle="1" w:styleId="262">
    <w:name w:val="xl82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/>
      <w:jc w:val="center"/>
    </w:pPr>
    <w:rPr>
      <w:sz w:val="18"/>
      <w:szCs w:val="18"/>
      <w:lang w:val="hr-HR"/>
    </w:rPr>
  </w:style>
  <w:style w:type="paragraph" w:customStyle="1" w:styleId="263">
    <w:name w:val="xl83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/>
    </w:pPr>
    <w:rPr>
      <w:sz w:val="18"/>
      <w:szCs w:val="18"/>
      <w:lang w:val="hr-HR"/>
    </w:rPr>
  </w:style>
  <w:style w:type="paragraph" w:customStyle="1" w:styleId="264">
    <w:name w:val="xl84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/>
    </w:pPr>
    <w:rPr>
      <w:sz w:val="18"/>
      <w:szCs w:val="18"/>
      <w:lang w:val="hr-HR"/>
    </w:rPr>
  </w:style>
  <w:style w:type="paragraph" w:customStyle="1" w:styleId="265">
    <w:name w:val="xl85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/>
      <w:jc w:val="center"/>
    </w:pPr>
    <w:rPr>
      <w:sz w:val="18"/>
      <w:szCs w:val="18"/>
      <w:lang w:val="hr-HR"/>
    </w:rPr>
  </w:style>
  <w:style w:type="paragraph" w:customStyle="1" w:styleId="266">
    <w:name w:val="xl86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666699"/>
      <w:spacing w:before="280" w:after="280"/>
      <w:jc w:val="center"/>
    </w:pPr>
    <w:rPr>
      <w:color w:val="333399"/>
      <w:sz w:val="18"/>
      <w:szCs w:val="18"/>
      <w:lang w:val="hr-HR"/>
    </w:rPr>
  </w:style>
  <w:style w:type="paragraph" w:customStyle="1" w:styleId="267">
    <w:name w:val="xl87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666699"/>
      <w:spacing w:before="280" w:after="280"/>
    </w:pPr>
    <w:rPr>
      <w:color w:val="FFFFFF"/>
      <w:sz w:val="18"/>
      <w:szCs w:val="18"/>
      <w:lang w:val="hr-HR"/>
    </w:rPr>
  </w:style>
  <w:style w:type="paragraph" w:customStyle="1" w:styleId="268">
    <w:name w:val="xl88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666699"/>
      <w:spacing w:before="280" w:after="280"/>
    </w:pPr>
    <w:rPr>
      <w:color w:val="333399"/>
      <w:sz w:val="18"/>
      <w:szCs w:val="18"/>
      <w:lang w:val="hr-HR"/>
    </w:rPr>
  </w:style>
  <w:style w:type="paragraph" w:customStyle="1" w:styleId="269">
    <w:name w:val="xl89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666699"/>
      <w:spacing w:before="280" w:after="280"/>
      <w:jc w:val="center"/>
    </w:pPr>
    <w:rPr>
      <w:sz w:val="18"/>
      <w:szCs w:val="18"/>
      <w:lang w:val="hr-HR"/>
    </w:rPr>
  </w:style>
  <w:style w:type="paragraph" w:customStyle="1" w:styleId="270">
    <w:name w:val="xl90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666699"/>
      <w:spacing w:before="280" w:after="280"/>
    </w:pPr>
    <w:rPr>
      <w:sz w:val="18"/>
      <w:szCs w:val="18"/>
      <w:lang w:val="hr-HR"/>
    </w:rPr>
  </w:style>
  <w:style w:type="paragraph" w:customStyle="1" w:styleId="271">
    <w:name w:val="xl91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969696"/>
      <w:spacing w:before="280" w:after="280"/>
      <w:jc w:val="center"/>
    </w:pPr>
    <w:rPr>
      <w:b/>
      <w:bCs/>
      <w:color w:val="FFFFFF"/>
      <w:sz w:val="40"/>
      <w:szCs w:val="40"/>
      <w:lang w:val="hr-HR"/>
    </w:rPr>
  </w:style>
  <w:style w:type="paragraph" w:customStyle="1" w:styleId="272">
    <w:name w:val="xl92"/>
    <w:basedOn w:val="1"/>
    <w:qFormat/>
    <w:uiPriority w:val="99"/>
    <w:pPr>
      <w:shd w:val="clear" w:color="auto" w:fill="969696"/>
      <w:spacing w:before="280" w:after="280"/>
      <w:jc w:val="center"/>
    </w:pPr>
    <w:rPr>
      <w:b/>
      <w:bCs/>
      <w:color w:val="FFFFFF"/>
      <w:sz w:val="40"/>
      <w:szCs w:val="40"/>
      <w:lang w:val="hr-HR"/>
    </w:rPr>
  </w:style>
  <w:style w:type="paragraph" w:customStyle="1" w:styleId="273">
    <w:name w:val="xl63"/>
    <w:basedOn w:val="1"/>
    <w:qFormat/>
    <w:uiPriority w:val="99"/>
    <w:pPr>
      <w:spacing w:before="280" w:after="280"/>
    </w:pPr>
    <w:rPr>
      <w:b/>
      <w:bCs/>
      <w:sz w:val="18"/>
      <w:szCs w:val="18"/>
      <w:lang w:val="hr-HR"/>
    </w:rPr>
  </w:style>
  <w:style w:type="paragraph" w:customStyle="1" w:styleId="274">
    <w:name w:val="xl64"/>
    <w:basedOn w:val="1"/>
    <w:qFormat/>
    <w:uiPriority w:val="99"/>
    <w:pPr>
      <w:spacing w:before="280" w:after="280"/>
    </w:pPr>
    <w:rPr>
      <w:sz w:val="18"/>
      <w:szCs w:val="18"/>
      <w:lang w:val="hr-HR"/>
    </w:rPr>
  </w:style>
  <w:style w:type="paragraph" w:customStyle="1" w:styleId="275">
    <w:name w:val="xl93"/>
    <w:basedOn w:val="1"/>
    <w:qFormat/>
    <w:uiPriority w:val="99"/>
    <w:pPr>
      <w:shd w:val="clear" w:color="auto" w:fill="282894"/>
      <w:spacing w:before="280" w:after="280"/>
      <w:textAlignment w:val="center"/>
    </w:pPr>
    <w:rPr>
      <w:b/>
      <w:bCs/>
      <w:color w:val="FFFFFF"/>
      <w:sz w:val="20"/>
      <w:szCs w:val="20"/>
      <w:lang w:val="hr-HR"/>
    </w:rPr>
  </w:style>
  <w:style w:type="paragraph" w:customStyle="1" w:styleId="276">
    <w:name w:val="Style6"/>
    <w:basedOn w:val="1"/>
    <w:qFormat/>
    <w:uiPriority w:val="99"/>
    <w:pPr>
      <w:widowControl w:val="0"/>
      <w:autoSpaceDE w:val="0"/>
      <w:spacing w:line="280" w:lineRule="exact"/>
      <w:ind w:hanging="389"/>
    </w:pPr>
    <w:rPr>
      <w:lang w:val="hr-HR"/>
    </w:rPr>
  </w:style>
  <w:style w:type="paragraph" w:customStyle="1" w:styleId="277">
    <w:name w:val="Style8"/>
    <w:basedOn w:val="1"/>
    <w:qFormat/>
    <w:uiPriority w:val="99"/>
    <w:pPr>
      <w:widowControl w:val="0"/>
      <w:autoSpaceDE w:val="0"/>
      <w:spacing w:line="281" w:lineRule="exact"/>
      <w:jc w:val="both"/>
    </w:pPr>
    <w:rPr>
      <w:lang w:val="hr-HR"/>
    </w:rPr>
  </w:style>
  <w:style w:type="paragraph" w:customStyle="1" w:styleId="278">
    <w:name w:val="Odlomak popisa1"/>
    <w:basedOn w:val="1"/>
    <w:qFormat/>
    <w:uiPriority w:val="99"/>
    <w:pPr>
      <w:widowControl w:val="0"/>
      <w:ind w:left="720"/>
    </w:pPr>
    <w:rPr>
      <w:lang w:val="hr-HR"/>
    </w:rPr>
  </w:style>
  <w:style w:type="paragraph" w:styleId="279">
    <w:name w:val="List Paragraph"/>
    <w:basedOn w:val="1"/>
    <w:qFormat/>
    <w:uiPriority w:val="99"/>
    <w:pPr>
      <w:spacing w:after="160" w:line="252" w:lineRule="auto"/>
      <w:ind w:left="720"/>
    </w:pPr>
    <w:rPr>
      <w:rFonts w:ascii="Calibri" w:hAnsi="Calibri" w:cs="Calibri"/>
      <w:lang w:val="en-NZ"/>
    </w:rPr>
  </w:style>
  <w:style w:type="paragraph" w:customStyle="1" w:styleId="280">
    <w:name w:val="Sadržaj okvira"/>
    <w:basedOn w:val="1"/>
    <w:qFormat/>
    <w:uiPriority w:val="99"/>
  </w:style>
  <w:style w:type="paragraph" w:customStyle="1" w:styleId="281">
    <w:name w:val="Sadržaji tablice"/>
    <w:basedOn w:val="1"/>
    <w:qFormat/>
    <w:uiPriority w:val="99"/>
    <w:pPr>
      <w:suppressLineNumbers/>
    </w:pPr>
  </w:style>
  <w:style w:type="paragraph" w:customStyle="1" w:styleId="282">
    <w:name w:val="Naslov tablice"/>
    <w:basedOn w:val="281"/>
    <w:qFormat/>
    <w:uiPriority w:val="99"/>
    <w:pPr>
      <w:jc w:val="center"/>
    </w:pPr>
    <w:rPr>
      <w:b/>
      <w:bCs/>
    </w:rPr>
  </w:style>
  <w:style w:type="paragraph" w:customStyle="1" w:styleId="283">
    <w:name w:val="Standard"/>
    <w:qFormat/>
    <w:uiPriority w:val="99"/>
    <w:pPr>
      <w:suppressAutoHyphens/>
      <w:textAlignment w:val="baseline"/>
    </w:pPr>
    <w:rPr>
      <w:rFonts w:ascii="Times New Roman" w:hAnsi="Times New Roman" w:eastAsia="Times New Roman" w:cs="Times New Roman"/>
      <w:color w:val="00000A"/>
      <w:kern w:val="1"/>
      <w:sz w:val="24"/>
      <w:szCs w:val="24"/>
      <w:lang w:val="hr-HR" w:eastAsia="zh-CN" w:bidi="ar-SA"/>
    </w:rPr>
  </w:style>
  <w:style w:type="paragraph" w:customStyle="1" w:styleId="284">
    <w:name w:val="western"/>
    <w:basedOn w:val="1"/>
    <w:qFormat/>
    <w:uiPriority w:val="99"/>
    <w:pPr>
      <w:suppressAutoHyphens w:val="0"/>
      <w:spacing w:before="100" w:beforeAutospacing="1"/>
      <w:jc w:val="both"/>
    </w:pPr>
    <w:rPr>
      <w:sz w:val="24"/>
      <w:szCs w:val="24"/>
      <w:lang w:val="hr-HR" w:eastAsia="hr-HR"/>
    </w:rPr>
  </w:style>
  <w:style w:type="character" w:customStyle="1" w:styleId="285">
    <w:name w:val="Neriješeno spominjanje1"/>
    <w:basedOn w:val="9"/>
    <w:semiHidden/>
    <w:qFormat/>
    <w:uiPriority w:val="99"/>
    <w:rPr>
      <w:color w:val="auto"/>
      <w:shd w:val="clear" w:color="auto" w:fill="auto"/>
    </w:rPr>
  </w:style>
  <w:style w:type="character" w:customStyle="1" w:styleId="286">
    <w:name w:val="Unresolved Mention"/>
    <w:basedOn w:val="9"/>
    <w:semiHidden/>
    <w:qFormat/>
    <w:uiPriority w:val="99"/>
    <w:rPr>
      <w:color w:val="auto"/>
      <w:shd w:val="clear" w:color="auto" w:fill="auto"/>
    </w:rPr>
  </w:style>
  <w:style w:type="table" w:customStyle="1" w:styleId="287">
    <w:name w:val="Stil"/>
    <w:qFormat/>
    <w:uiPriority w:val="99"/>
    <w:rPr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8">
    <w:name w:val="Stil12"/>
    <w:qFormat/>
    <w:uiPriority w:val="99"/>
    <w:rPr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9">
    <w:name w:val="Stil11"/>
    <w:qFormat/>
    <w:uiPriority w:val="99"/>
    <w:rPr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0">
    <w:name w:val="Stil10"/>
    <w:qFormat/>
    <w:uiPriority w:val="99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Stil9"/>
    <w:qFormat/>
    <w:uiPriority w:val="99"/>
    <w:rPr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2">
    <w:name w:val="Stil8"/>
    <w:qFormat/>
    <w:uiPriority w:val="99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3">
    <w:name w:val="Stil7"/>
    <w:qFormat/>
    <w:uiPriority w:val="99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4">
    <w:name w:val="Stil6"/>
    <w:qFormat/>
    <w:uiPriority w:val="99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5">
    <w:name w:val="Stil5"/>
    <w:qFormat/>
    <w:uiPriority w:val="99"/>
    <w:rPr>
      <w:sz w:val="20"/>
      <w:szCs w:val="20"/>
    </w:rPr>
    <w:tblPr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296">
    <w:name w:val="Stil4"/>
    <w:qFormat/>
    <w:uiPriority w:val="99"/>
    <w:rPr>
      <w:sz w:val="20"/>
      <w:szCs w:val="20"/>
    </w:rPr>
    <w:tblPr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297">
    <w:name w:val="Stil3"/>
    <w:qFormat/>
    <w:uiPriority w:val="99"/>
    <w:rPr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8">
    <w:name w:val="Stil2"/>
    <w:qFormat/>
    <w:uiPriority w:val="99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">
    <w:name w:val="Stil1"/>
    <w:qFormat/>
    <w:uiPriority w:val="99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Apeiron</Company>
  <Pages>8</Pages>
  <Words>2595</Words>
  <Characters>14797</Characters>
  <Lines>0</Lines>
  <Paragraphs>0</Paragraphs>
  <TotalTime>30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2025-03-06T11:22:00Z</dcterms:created>
  <dc:creator>Ana Bruketa</dc:creator>
  <cp:lastModifiedBy>Katica</cp:lastModifiedBy>
  <cp:lastPrinted>2025-03-07T09:16:00Z</cp:lastPrinted>
  <dcterms:modified xsi:type="dcterms:W3CDTF">2025-05-02T10:31:38Z</dcterms:modified>
  <dc:title>DJEČJI VRTIĆ POŽEGA 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9387926760CC4B25B62ED8FA70F5630B_13</vt:lpwstr>
  </property>
</Properties>
</file>